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仿宋_GB2312" w:eastAsia="仿宋_GB2312"/>
          <w:sz w:val="32"/>
          <w:szCs w:val="32"/>
        </w:rPr>
        <w:t xml:space="preserve">     </w:t>
      </w:r>
    </w:p>
    <w:p>
      <w:pPr>
        <w:jc w:val="center"/>
        <w:rPr>
          <w:rFonts w:ascii="方正小标宋简体" w:eastAsia="方正小标宋简体"/>
          <w:sz w:val="32"/>
          <w:szCs w:val="32"/>
        </w:rPr>
      </w:pPr>
    </w:p>
    <w:p>
      <w:pPr>
        <w:snapToGrid w:val="0"/>
        <w:jc w:val="center"/>
        <w:rPr>
          <w:rFonts w:ascii="仿宋_GB2312" w:hAnsi="仿宋" w:eastAsia="仿宋_GB2312"/>
          <w:sz w:val="32"/>
          <w:szCs w:val="32"/>
        </w:rPr>
      </w:pPr>
      <w:r>
        <w:rPr>
          <w:rFonts w:hint="eastAsia" w:ascii="仿宋_GB2312" w:eastAsia="仿宋_GB2312"/>
          <w:sz w:val="32"/>
          <w:szCs w:val="32"/>
        </w:rPr>
        <w:t xml:space="preserve">                                              </w:t>
      </w:r>
    </w:p>
    <w:p>
      <w:pPr>
        <w:spacing w:line="600" w:lineRule="exact"/>
        <w:jc w:val="right"/>
        <w:rPr>
          <w:rFonts w:hint="eastAsia" w:eastAsia="仿宋_GB2312"/>
          <w:sz w:val="32"/>
          <w:szCs w:val="32"/>
          <w:lang w:eastAsia="zh-CN"/>
        </w:rPr>
      </w:pPr>
      <w:r>
        <w:rPr>
          <w:rFonts w:hint="eastAsia" w:ascii="仿宋_GB2312" w:hAnsi="仿宋" w:eastAsia="仿宋_GB2312"/>
          <w:sz w:val="32"/>
          <w:szCs w:val="32"/>
        </w:rPr>
        <w:t xml:space="preserve">                            </w:t>
      </w:r>
      <w:r>
        <w:rPr>
          <w:rFonts w:eastAsia="仿宋_GB2312"/>
          <w:sz w:val="32"/>
          <w:szCs w:val="32"/>
        </w:rPr>
        <w:t>是否同意公开</w:t>
      </w:r>
      <w:r>
        <w:rPr>
          <w:rFonts w:hint="eastAsia" w:eastAsia="仿宋_GB2312"/>
          <w:sz w:val="32"/>
          <w:szCs w:val="32"/>
        </w:rPr>
        <w:t>：</w:t>
      </w:r>
      <w:r>
        <w:rPr>
          <w:rFonts w:hint="eastAsia" w:eastAsia="仿宋_GB2312"/>
          <w:sz w:val="32"/>
          <w:szCs w:val="32"/>
          <w:lang w:eastAsia="zh-CN"/>
        </w:rPr>
        <w:t>是</w:t>
      </w: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eastAsia="仿宋_GB2312"/>
          <w:sz w:val="32"/>
          <w:szCs w:val="32"/>
          <w:lang w:eastAsia="zh-CN"/>
        </w:rPr>
      </w:pPr>
      <w:r>
        <w:rPr>
          <w:rFonts w:hint="eastAsia" w:eastAsia="仿宋_GB2312"/>
          <w:sz w:val="32"/>
          <w:szCs w:val="32"/>
          <w:lang w:eastAsia="zh-CN"/>
        </w:rPr>
        <w:t>建议字</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lang w:eastAsia="zh-CN"/>
        </w:rPr>
        <w:t>第</w:t>
      </w:r>
      <w:r>
        <w:rPr>
          <w:rFonts w:hint="eastAsia" w:eastAsia="仿宋_GB2312"/>
          <w:sz w:val="32"/>
          <w:szCs w:val="32"/>
          <w:lang w:val="en-US" w:eastAsia="zh-CN"/>
        </w:rPr>
        <w:t>111号</w:t>
      </w:r>
    </w:p>
    <w:p>
      <w:pPr>
        <w:snapToGrid w:val="0"/>
        <w:jc w:val="right"/>
        <w:rPr>
          <w:rFonts w:ascii="仿宋_GB2312" w:hAnsi="仿宋" w:eastAsia="仿宋_GB2312"/>
          <w:sz w:val="32"/>
          <w:szCs w:val="32"/>
        </w:rPr>
      </w:pPr>
      <w:r>
        <w:rPr>
          <w:rFonts w:hint="eastAsia" w:eastAsia="仿宋_GB2312"/>
          <w:sz w:val="32"/>
          <w:szCs w:val="32"/>
          <w:lang w:eastAsia="zh-CN"/>
        </w:rPr>
        <w:t>唐住建议</w:t>
      </w:r>
      <w:r>
        <w:rPr>
          <w:rFonts w:eastAsia="仿宋_GB2312"/>
          <w:sz w:val="32"/>
          <w:szCs w:val="32"/>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eastAsia="仿宋_GB2312"/>
          <w:sz w:val="32"/>
          <w:szCs w:val="32"/>
        </w:rPr>
        <w:t>号</w:t>
      </w:r>
    </w:p>
    <w:p>
      <w:pPr>
        <w:snapToGrid w:val="0"/>
        <w:jc w:val="center"/>
        <w:rPr>
          <w:rFonts w:ascii="方正小标宋简体" w:hAnsi="宋体" w:eastAsia="方正小标宋简体"/>
          <w:sz w:val="44"/>
          <w:szCs w:val="44"/>
        </w:rPr>
      </w:pP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对唐山市第十五届人民代表大会</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第六次会议第111号建议的会办意见</w:t>
      </w:r>
    </w:p>
    <w:p>
      <w:pPr>
        <w:rPr>
          <w:rFonts w:ascii="仿宋_GB2312" w:eastAsia="仿宋_GB2312"/>
          <w:sz w:val="32"/>
          <w:szCs w:val="32"/>
        </w:rPr>
      </w:pPr>
    </w:p>
    <w:p>
      <w:pPr>
        <w:spacing w:line="560" w:lineRule="exact"/>
        <w:rPr>
          <w:rFonts w:ascii="仿宋_GB2312" w:hAnsi="仿宋" w:eastAsia="仿宋_GB2312"/>
          <w:sz w:val="32"/>
          <w:szCs w:val="32"/>
        </w:rPr>
      </w:pPr>
      <w:r>
        <w:rPr>
          <w:rFonts w:hint="eastAsia" w:ascii="仿宋_GB2312" w:hAnsi="仿宋" w:eastAsia="仿宋_GB2312"/>
          <w:sz w:val="32"/>
          <w:szCs w:val="32"/>
        </w:rPr>
        <w:t>市发改委：</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郭俊章代表提出的《关于加强私人充电设施建设促进汽车消费绿色升级的建议》已收悉，结合我局工作职能，现将我局会办意见回复如下：</w:t>
      </w:r>
    </w:p>
    <w:p>
      <w:pPr>
        <w:spacing w:line="57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按照《关于加快居民区电动汽车充电基础设施建设的通知》（发改能源〔2016〕1611号）等文件精神，物业服务企业应该积极配合小区业主加装充电桩工作。在实际操作中，因小区内加装充电桩涉及供电、安全等多方面因素，建议相关部门共同加强引导和安全监管，同时将该项工作充分纳入到属地的社区治理体系中，加强街道、社区对物业服务企业的工作指导和督促。我局将引导物业服务企业结合实际加大对物业管理小区内加装充电桩的支持力度。</w:t>
      </w:r>
    </w:p>
    <w:p>
      <w:pPr>
        <w:spacing w:line="57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同时，结合老旧小区改造，在我局印发的《唐山市2021年老旧小区改造工作要点》，将老旧小区进行电力扩容，配套建设电动汽车和电动自行车充电桩纳入今年重点改造内容。</w:t>
      </w:r>
    </w:p>
    <w:p>
      <w:pPr>
        <w:spacing w:line="560" w:lineRule="exact"/>
        <w:ind w:firstLine="640" w:firstLineChars="200"/>
        <w:rPr>
          <w:rFonts w:ascii="仿宋_GB2312" w:hAnsi="仿宋" w:eastAsia="仿宋_GB2312" w:cs="Courier New"/>
          <w:sz w:val="32"/>
          <w:szCs w:val="21"/>
        </w:rPr>
      </w:pPr>
    </w:p>
    <w:p>
      <w:pPr>
        <w:spacing w:line="560" w:lineRule="exact"/>
        <w:ind w:firstLine="640" w:firstLineChars="200"/>
        <w:rPr>
          <w:rFonts w:ascii="仿宋_GB2312" w:hAnsi="仿宋" w:eastAsia="仿宋_GB2312" w:cs="Courier New"/>
          <w:sz w:val="32"/>
          <w:szCs w:val="21"/>
        </w:rPr>
      </w:pPr>
    </w:p>
    <w:p>
      <w:pPr>
        <w:spacing w:line="560" w:lineRule="exact"/>
        <w:jc w:val="right"/>
        <w:rPr>
          <w:rFonts w:ascii="仿宋_GB2312" w:hAnsi="仿宋" w:eastAsia="仿宋_GB2312" w:cs="Courier New"/>
          <w:sz w:val="32"/>
          <w:szCs w:val="21"/>
        </w:rPr>
      </w:pPr>
      <w:r>
        <w:rPr>
          <w:rFonts w:hint="eastAsia" w:ascii="仿宋_GB2312" w:hAnsi="仿宋" w:eastAsia="仿宋_GB2312" w:cs="Courier New"/>
          <w:sz w:val="32"/>
          <w:szCs w:val="21"/>
        </w:rPr>
        <w:t>唐山市住房和城乡建设局</w:t>
      </w:r>
    </w:p>
    <w:p>
      <w:pPr>
        <w:spacing w:line="560" w:lineRule="exact"/>
        <w:ind w:right="480"/>
        <w:jc w:val="right"/>
        <w:rPr>
          <w:rFonts w:ascii="仿宋_GB2312" w:hAnsi="仿宋" w:eastAsia="仿宋_GB2312" w:cs="Courier New"/>
          <w:sz w:val="32"/>
          <w:szCs w:val="21"/>
        </w:rPr>
      </w:pPr>
      <w:r>
        <w:rPr>
          <w:rFonts w:hint="eastAsia" w:ascii="仿宋_GB2312" w:hAnsi="仿宋" w:eastAsia="仿宋_GB2312" w:cs="Courier New"/>
          <w:sz w:val="32"/>
          <w:szCs w:val="21"/>
        </w:rPr>
        <w:t>2021年</w:t>
      </w:r>
      <w:r>
        <w:rPr>
          <w:rFonts w:hint="eastAsia" w:ascii="仿宋_GB2312" w:hAnsi="仿宋" w:eastAsia="仿宋_GB2312" w:cs="Courier New"/>
          <w:sz w:val="32"/>
          <w:szCs w:val="21"/>
          <w:lang w:val="en-US" w:eastAsia="zh-CN"/>
        </w:rPr>
        <w:t>4</w:t>
      </w:r>
      <w:r>
        <w:rPr>
          <w:rFonts w:hint="eastAsia" w:ascii="仿宋_GB2312" w:hAnsi="仿宋" w:eastAsia="仿宋_GB2312" w:cs="Courier New"/>
          <w:sz w:val="32"/>
          <w:szCs w:val="21"/>
        </w:rPr>
        <w:t>月</w:t>
      </w:r>
      <w:r>
        <w:rPr>
          <w:rFonts w:hint="eastAsia" w:ascii="仿宋_GB2312" w:hAnsi="仿宋" w:eastAsia="仿宋_GB2312" w:cs="Courier New"/>
          <w:sz w:val="32"/>
          <w:szCs w:val="21"/>
          <w:lang w:val="en-US" w:eastAsia="zh-CN"/>
        </w:rPr>
        <w:t>9</w:t>
      </w:r>
      <w:r>
        <w:rPr>
          <w:rFonts w:hint="eastAsia" w:ascii="仿宋_GB2312" w:hAnsi="仿宋" w:eastAsia="仿宋_GB2312" w:cs="Courier New"/>
          <w:sz w:val="32"/>
          <w:szCs w:val="21"/>
        </w:rPr>
        <w:t>日</w:t>
      </w: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p>
    <w:p>
      <w:pPr>
        <w:spacing w:line="560" w:lineRule="exact"/>
        <w:ind w:firstLine="5280" w:firstLineChars="1650"/>
        <w:rPr>
          <w:rFonts w:ascii="仿宋_GB2312" w:hAnsi="仿宋" w:eastAsia="仿宋_GB2312" w:cs="Courier New"/>
          <w:sz w:val="32"/>
          <w:szCs w:val="21"/>
        </w:rPr>
      </w:pPr>
      <w:bookmarkStart w:id="0" w:name="_GoBack"/>
      <w:bookmarkEnd w:id="0"/>
    </w:p>
    <w:p>
      <w:pPr>
        <w:spacing w:line="560" w:lineRule="exact"/>
        <w:ind w:firstLine="5280" w:firstLineChars="1650"/>
        <w:rPr>
          <w:rFonts w:ascii="仿宋_GB2312" w:hAnsi="仿宋" w:eastAsia="仿宋_GB2312" w:cs="Courier New"/>
          <w:sz w:val="32"/>
          <w:szCs w:val="21"/>
        </w:rPr>
      </w:pPr>
    </w:p>
    <w:p>
      <w:pPr>
        <w:rPr>
          <w:rFonts w:ascii="仿宋_GB2312" w:hAnsi="仿宋" w:eastAsia="仿宋_GB2312" w:cs="Courier New"/>
          <w:sz w:val="32"/>
          <w:szCs w:val="21"/>
        </w:rPr>
      </w:pPr>
      <w:r>
        <w:rPr>
          <w:rFonts w:hint="eastAsia" w:ascii="仿宋_GB2312" w:hAnsi="仿宋" w:eastAsia="仿宋_GB2312" w:cs="Courier New"/>
          <w:sz w:val="32"/>
          <w:szCs w:val="21"/>
        </w:rPr>
        <w:t>领导签发：冯永辉</w:t>
      </w:r>
    </w:p>
    <w:p>
      <w:pPr>
        <w:rPr>
          <w:rFonts w:ascii="仿宋_GB2312" w:hAnsi="仿宋" w:eastAsia="仿宋_GB2312"/>
          <w:sz w:val="32"/>
          <w:szCs w:val="32"/>
        </w:rPr>
      </w:pPr>
      <w:r>
        <w:rPr>
          <w:rFonts w:hint="eastAsia" w:ascii="仿宋_GB2312" w:hAnsi="仿宋" w:eastAsia="仿宋_GB2312"/>
          <w:sz w:val="32"/>
          <w:szCs w:val="32"/>
        </w:rPr>
        <w:t>联系人及电话：李朝阳  2825413</w:t>
      </w:r>
    </w:p>
    <w:p>
      <w:pPr>
        <w:rPr>
          <w:rFonts w:ascii="仿宋_GB2312" w:hAnsi="仿宋" w:eastAsia="仿宋_GB2312"/>
          <w:kern w:val="10"/>
          <w:sz w:val="32"/>
          <w:szCs w:val="32"/>
        </w:rPr>
      </w:pPr>
      <w:r>
        <w:rPr>
          <w:rFonts w:hint="eastAsia" w:ascii="仿宋_GB2312" w:hAnsi="仿宋" w:eastAsia="仿宋_GB2312"/>
          <w:kern w:val="10"/>
          <w:sz w:val="32"/>
          <w:szCs w:val="32"/>
        </w:rPr>
        <w:t>抄报：市人大常委会选举任免代表工作委员会，市政府办公室。</w:t>
      </w:r>
    </w:p>
    <w:sectPr>
      <w:footerReference r:id="rId3" w:type="default"/>
      <w:footerReference r:id="rId4" w:type="even"/>
      <w:pgSz w:w="11906" w:h="16838"/>
      <w:pgMar w:top="1440" w:right="1701" w:bottom="1440" w:left="1701" w:header="851" w:footer="1021" w:gutter="0"/>
      <w:pgNumType w:fmt="numberInDash"/>
      <w:cols w:space="425" w:num="1"/>
      <w:docGrid w:type="lines" w:linePitch="6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6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401D"/>
    <w:rsid w:val="00053AFA"/>
    <w:rsid w:val="00143EEA"/>
    <w:rsid w:val="0017491E"/>
    <w:rsid w:val="001E2D8A"/>
    <w:rsid w:val="00397F9A"/>
    <w:rsid w:val="00424946"/>
    <w:rsid w:val="00452D89"/>
    <w:rsid w:val="00531173"/>
    <w:rsid w:val="005B10D0"/>
    <w:rsid w:val="006E5729"/>
    <w:rsid w:val="00766E01"/>
    <w:rsid w:val="00A2064C"/>
    <w:rsid w:val="00A5329B"/>
    <w:rsid w:val="00B1401D"/>
    <w:rsid w:val="00B16F32"/>
    <w:rsid w:val="00B96F4D"/>
    <w:rsid w:val="00C0207B"/>
    <w:rsid w:val="00D16B99"/>
    <w:rsid w:val="00D938F1"/>
    <w:rsid w:val="00FB1CAB"/>
    <w:rsid w:val="1E5E0465"/>
    <w:rsid w:val="430369C4"/>
    <w:rsid w:val="4594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Subtle Emphasis"/>
    <w:basedOn w:val="6"/>
    <w:qFormat/>
    <w:uiPriority w:val="19"/>
    <w:rPr>
      <w:i/>
      <w:iCs/>
      <w:color w:val="7F7F7F" w:themeColor="text1" w:themeTint="7F"/>
    </w:rPr>
  </w:style>
  <w:style w:type="character" w:customStyle="1" w:styleId="11">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88</Words>
  <Characters>508</Characters>
  <Lines>4</Lines>
  <Paragraphs>1</Paragraphs>
  <TotalTime>3</TotalTime>
  <ScaleCrop>false</ScaleCrop>
  <LinksUpToDate>false</LinksUpToDate>
  <CharactersWithSpaces>595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2021-03-22T01:46:00Z</dcterms:created>
  <dc:creator>Windows 用户</dc:creator>
  <cp:lastModifiedBy>欢笑迎福</cp:lastModifiedBy>
  <cp:lastPrinted>2021-05-12T07:21:26Z</cp:lastPrinted>
  <dcterms:modified xsi:type="dcterms:W3CDTF">2021-05-12T07:23:54Z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381163B8735541CE8DF7FD2577DBAADC</vt:lpwstr>
  </property>
</Properties>
</file>