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b/>
          <w:sz w:val="44"/>
          <w:szCs w:val="44"/>
        </w:rPr>
      </w:pPr>
      <w:r>
        <w:rPr>
          <w:rFonts w:hint="eastAsia" w:ascii="宋体" w:hAnsi="宋体"/>
          <w:b/>
          <w:sz w:val="44"/>
          <w:szCs w:val="44"/>
        </w:rPr>
        <w:t>2020年度市公共租赁住房维修费用</w:t>
      </w:r>
    </w:p>
    <w:p>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绩效评价报告</w:t>
      </w:r>
    </w:p>
    <w:p>
      <w:pPr>
        <w:spacing w:line="520" w:lineRule="exact"/>
        <w:ind w:firstLine="643" w:firstLineChars="200"/>
        <w:rPr>
          <w:rFonts w:ascii="仿宋_GB2312" w:hAnsi="宋体" w:eastAsia="仿宋_GB2312"/>
          <w:b/>
          <w:szCs w:val="32"/>
        </w:rPr>
      </w:pPr>
    </w:p>
    <w:p>
      <w:pPr>
        <w:spacing w:line="580" w:lineRule="exact"/>
        <w:ind w:firstLine="643" w:firstLineChars="200"/>
        <w:rPr>
          <w:rFonts w:ascii="仿宋" w:hAnsi="仿宋" w:eastAsia="仿宋"/>
          <w:b/>
          <w:szCs w:val="32"/>
        </w:rPr>
      </w:pPr>
      <w:r>
        <w:rPr>
          <w:rFonts w:hint="eastAsia" w:ascii="仿宋" w:hAnsi="仿宋" w:eastAsia="仿宋"/>
          <w:b/>
          <w:szCs w:val="32"/>
        </w:rPr>
        <w:t>一、基本情况</w:t>
      </w:r>
    </w:p>
    <w:p>
      <w:pPr>
        <w:spacing w:line="560" w:lineRule="exact"/>
        <w:ind w:firstLine="640" w:firstLineChars="200"/>
        <w:rPr>
          <w:rFonts w:ascii="仿宋" w:hAnsi="仿宋" w:eastAsia="仿宋"/>
          <w:b/>
          <w:szCs w:val="32"/>
        </w:rPr>
      </w:pPr>
      <w:r>
        <w:rPr>
          <w:rFonts w:hint="eastAsia" w:ascii="仿宋_GB2312" w:eastAsia="仿宋_GB2312"/>
          <w:szCs w:val="32"/>
        </w:rPr>
        <w:t>（一）项目概况。</w:t>
      </w:r>
      <w:r>
        <w:rPr>
          <w:rFonts w:hint="eastAsia" w:ascii="仿宋" w:hAnsi="仿宋" w:eastAsia="仿宋"/>
          <w:szCs w:val="32"/>
        </w:rPr>
        <w:t>截至目前，我市中心区共有公共租赁住房14670套，建筑面积87.94万平方米；其中新建公租房九个小区共14463套，面积86.98万平方米（含益民园287套,1.48万平米；河联园2920套，17.26万平米；惠民园567套，3.94万平米；新景楼132套,0.90万平米；和顺园1080套，6.38万平米；高各庄祥泰园1120套,6.71万平米；旭安园小区3589套，22.66万平米；骏安园小区2135套，11.45万平米；瑞安园2633套，16.20万平米），老小区公租房（缸窑里就地安置及回购市中心区各旧小区廉租住房）207套，面积0.96万平方米，2020年度我市中心区收缴公租房租金4800万元</w:t>
      </w:r>
      <w:r>
        <w:rPr>
          <w:rFonts w:hint="eastAsia" w:ascii="仿宋" w:hAnsi="仿宋" w:eastAsia="仿宋"/>
          <w:b/>
          <w:szCs w:val="32"/>
        </w:rPr>
        <w:t>。</w:t>
      </w:r>
    </w:p>
    <w:p>
      <w:pPr>
        <w:spacing w:line="560" w:lineRule="exact"/>
        <w:ind w:firstLine="640" w:firstLineChars="200"/>
        <w:rPr>
          <w:rFonts w:ascii="仿宋" w:hAnsi="仿宋" w:eastAsia="仿宋"/>
          <w:szCs w:val="32"/>
        </w:rPr>
      </w:pPr>
      <w:r>
        <w:rPr>
          <w:rFonts w:hint="eastAsia" w:ascii="仿宋" w:hAnsi="仿宋" w:eastAsia="仿宋"/>
          <w:szCs w:val="32"/>
        </w:rPr>
        <w:t>这些小区由我中心委托三个房管所和房投物业进行后期管理维修，2020年市财政拨付我中心614万元，已全部拨付给这些后期管理单位。</w:t>
      </w:r>
    </w:p>
    <w:p>
      <w:pPr>
        <w:spacing w:line="560" w:lineRule="exact"/>
        <w:ind w:firstLine="640" w:firstLineChars="200"/>
        <w:rPr>
          <w:rFonts w:ascii="仿宋_GB2312" w:eastAsia="仿宋_GB2312"/>
          <w:szCs w:val="32"/>
        </w:rPr>
      </w:pPr>
      <w:r>
        <w:rPr>
          <w:rFonts w:hint="eastAsia" w:ascii="仿宋_GB2312" w:eastAsia="仿宋_GB2312"/>
          <w:szCs w:val="32"/>
        </w:rPr>
        <w:t>（二）项目绩效目标。项目总目标是督促后期运营管理单位完成14670套公租房的维修管理任务。</w:t>
      </w:r>
    </w:p>
    <w:p>
      <w:pPr>
        <w:spacing w:line="600" w:lineRule="exact"/>
        <w:ind w:firstLine="640" w:firstLineChars="200"/>
        <w:rPr>
          <w:rFonts w:ascii="黑体" w:hAnsi="黑体" w:eastAsia="黑体"/>
          <w:szCs w:val="32"/>
        </w:rPr>
      </w:pPr>
      <w:r>
        <w:rPr>
          <w:rFonts w:hint="eastAsia" w:ascii="黑体" w:hAnsi="黑体" w:eastAsia="黑体"/>
          <w:szCs w:val="32"/>
        </w:rPr>
        <w:t>二、绩效评价工作开展情况</w:t>
      </w:r>
    </w:p>
    <w:p>
      <w:pPr>
        <w:spacing w:line="560" w:lineRule="exact"/>
        <w:ind w:firstLine="640" w:firstLineChars="200"/>
        <w:rPr>
          <w:rFonts w:ascii="仿宋_GB2312" w:eastAsia="仿宋_GB2312"/>
          <w:szCs w:val="32"/>
        </w:rPr>
      </w:pPr>
      <w:r>
        <w:rPr>
          <w:rFonts w:hint="eastAsia" w:ascii="仿宋_GB2312" w:eastAsia="仿宋_GB2312"/>
          <w:szCs w:val="32"/>
        </w:rPr>
        <w:t>（一）绩效评价目的、对象和范围。</w:t>
      </w:r>
    </w:p>
    <w:p>
      <w:pPr>
        <w:spacing w:line="560" w:lineRule="exact"/>
        <w:ind w:firstLine="640" w:firstLineChars="200"/>
        <w:rPr>
          <w:rFonts w:ascii="仿宋_GB2312" w:eastAsia="仿宋_GB2312"/>
          <w:szCs w:val="32"/>
        </w:rPr>
      </w:pPr>
      <w:r>
        <w:rPr>
          <w:rFonts w:hint="eastAsia" w:ascii="仿宋_GB2312" w:eastAsia="仿宋_GB2312"/>
          <w:szCs w:val="32"/>
        </w:rPr>
        <w:t>公租房资金绩效评价的目的在于合理使用公租房后期管理维修资金，保障公租房正常居住的功能要求，进一步调动后期管理人员的积极性、创造性。</w:t>
      </w:r>
    </w:p>
    <w:p>
      <w:pPr>
        <w:spacing w:line="560" w:lineRule="exact"/>
        <w:ind w:firstLine="640" w:firstLineChars="200"/>
        <w:rPr>
          <w:rFonts w:ascii="仿宋_GB2312" w:eastAsia="仿宋_GB2312"/>
          <w:szCs w:val="32"/>
        </w:rPr>
      </w:pPr>
      <w:r>
        <w:rPr>
          <w:rFonts w:hint="eastAsia" w:ascii="仿宋_GB2312" w:eastAsia="仿宋_GB2312"/>
          <w:szCs w:val="32"/>
        </w:rPr>
        <w:t>（二）绩效评价原则、评价指标体系（附表说明）、评价方法、评价标准等。</w:t>
      </w:r>
    </w:p>
    <w:tbl>
      <w:tblPr>
        <w:tblStyle w:val="5"/>
        <w:tblW w:w="9080" w:type="dxa"/>
        <w:jc w:val="center"/>
        <w:tblInd w:w="0" w:type="dxa"/>
        <w:tblLayout w:type="fixed"/>
        <w:tblCellMar>
          <w:top w:w="0" w:type="dxa"/>
          <w:left w:w="108" w:type="dxa"/>
          <w:bottom w:w="0" w:type="dxa"/>
          <w:right w:w="108" w:type="dxa"/>
        </w:tblCellMar>
      </w:tblPr>
      <w:tblGrid>
        <w:gridCol w:w="588"/>
        <w:gridCol w:w="980"/>
        <w:gridCol w:w="1385"/>
        <w:gridCol w:w="1701"/>
        <w:gridCol w:w="1024"/>
        <w:gridCol w:w="851"/>
        <w:gridCol w:w="567"/>
        <w:gridCol w:w="677"/>
        <w:gridCol w:w="1307"/>
      </w:tblGrid>
      <w:tr>
        <w:tblPrEx>
          <w:tblLayout w:type="fixed"/>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3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44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公租房管理套数</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14670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14670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3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维修质量合格</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合格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合格</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2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按时完成维修</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5"/>
                <w:szCs w:val="15"/>
              </w:rPr>
            </w:pPr>
            <w:r>
              <w:rPr>
                <w:rFonts w:ascii="宋体" w:hAnsi="宋体" w:cs="宋体"/>
                <w:kern w:val="0"/>
                <w:sz w:val="15"/>
                <w:szCs w:val="15"/>
              </w:rPr>
              <w:t>按时完成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5"/>
                <w:szCs w:val="15"/>
              </w:rPr>
              <w:t>按时完</w:t>
            </w:r>
            <w:r>
              <w:rPr>
                <w:rFonts w:ascii="宋体" w:hAnsi="宋体" w:cs="宋体"/>
                <w:kern w:val="0"/>
                <w:sz w:val="18"/>
                <w:szCs w:val="18"/>
              </w:rPr>
              <w:t>成</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资金利用率</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2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收益户数</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14122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14122</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38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满意度</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68" w:hRule="exact"/>
          <w:jc w:val="center"/>
        </w:trPr>
        <w:tc>
          <w:tcPr>
            <w:tcW w:w="6529"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99.5</w:t>
            </w:r>
          </w:p>
        </w:tc>
        <w:tc>
          <w:tcPr>
            <w:tcW w:w="13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exact"/>
          <w:jc w:val="center"/>
        </w:trPr>
        <w:tc>
          <w:tcPr>
            <w:tcW w:w="9080" w:type="dxa"/>
            <w:gridSpan w:val="9"/>
            <w:tcBorders>
              <w:top w:val="nil"/>
              <w:left w:val="nil"/>
              <w:bottom w:val="nil"/>
              <w:right w:val="nil"/>
            </w:tcBorders>
            <w:vAlign w:val="center"/>
          </w:tcPr>
          <w:p>
            <w:pPr>
              <w:widowControl/>
              <w:spacing w:line="320" w:lineRule="exact"/>
              <w:jc w:val="center"/>
              <w:rPr>
                <w:rFonts w:ascii="宋体" w:hAnsi="宋体" w:cs="宋体"/>
                <w:b/>
                <w:bCs/>
                <w:kern w:val="0"/>
                <w:szCs w:val="32"/>
              </w:rPr>
            </w:pPr>
          </w:p>
        </w:tc>
      </w:tr>
    </w:tbl>
    <w:p>
      <w:pPr>
        <w:spacing w:line="560" w:lineRule="exact"/>
        <w:ind w:firstLine="640" w:firstLineChars="200"/>
        <w:rPr>
          <w:rFonts w:ascii="仿宋_GB2312" w:eastAsia="仿宋_GB2312"/>
          <w:szCs w:val="32"/>
        </w:rPr>
      </w:pPr>
      <w:r>
        <w:rPr>
          <w:rFonts w:hint="eastAsia" w:ascii="仿宋_GB2312" w:eastAsia="仿宋_GB2312"/>
          <w:szCs w:val="32"/>
        </w:rPr>
        <w:t>（三）绩效评价工作过程。</w:t>
      </w:r>
    </w:p>
    <w:p>
      <w:pPr>
        <w:spacing w:line="560" w:lineRule="exact"/>
        <w:ind w:firstLine="640" w:firstLineChars="200"/>
        <w:rPr>
          <w:rFonts w:ascii="仿宋_GB2312" w:eastAsia="仿宋_GB2312"/>
          <w:szCs w:val="32"/>
        </w:rPr>
      </w:pPr>
      <w:r>
        <w:rPr>
          <w:rFonts w:ascii="仿宋_GB2312" w:eastAsia="仿宋_GB2312"/>
          <w:szCs w:val="32"/>
        </w:rPr>
        <w:t>做好产出指标</w:t>
      </w:r>
      <w:r>
        <w:rPr>
          <w:rFonts w:hint="eastAsia" w:ascii="仿宋_GB2312" w:eastAsia="仿宋_GB2312"/>
          <w:szCs w:val="32"/>
        </w:rPr>
        <w:t>、</w:t>
      </w:r>
      <w:r>
        <w:rPr>
          <w:rFonts w:ascii="仿宋_GB2312" w:eastAsia="仿宋_GB2312"/>
          <w:szCs w:val="32"/>
        </w:rPr>
        <w:t>效益指标及满意度指标的评价</w:t>
      </w:r>
      <w:r>
        <w:rPr>
          <w:rFonts w:hint="eastAsia" w:ascii="仿宋_GB2312" w:eastAsia="仿宋_GB2312"/>
          <w:szCs w:val="32"/>
        </w:rPr>
        <w:t>，</w:t>
      </w:r>
      <w:r>
        <w:rPr>
          <w:rFonts w:ascii="仿宋_GB2312" w:eastAsia="仿宋_GB2312"/>
          <w:szCs w:val="32"/>
        </w:rPr>
        <w:t>过程如上表</w:t>
      </w:r>
      <w:r>
        <w:rPr>
          <w:rFonts w:hint="eastAsia" w:ascii="仿宋_GB2312" w:eastAsia="仿宋_GB2312"/>
          <w:szCs w:val="32"/>
        </w:rPr>
        <w:t>。</w:t>
      </w:r>
    </w:p>
    <w:p>
      <w:pPr>
        <w:spacing w:line="600" w:lineRule="exact"/>
        <w:ind w:firstLine="640" w:firstLineChars="200"/>
        <w:rPr>
          <w:rFonts w:ascii="仿宋_GB2312" w:eastAsia="仿宋_GB2312"/>
          <w:szCs w:val="32"/>
        </w:rPr>
      </w:pPr>
      <w:r>
        <w:rPr>
          <w:rFonts w:hint="eastAsia" w:ascii="黑体" w:hAnsi="黑体" w:eastAsia="黑体"/>
          <w:szCs w:val="32"/>
        </w:rPr>
        <w:t>三、综合评价情况及评价结论</w:t>
      </w:r>
    </w:p>
    <w:p>
      <w:pPr>
        <w:snapToGrid w:val="0"/>
        <w:spacing w:line="560" w:lineRule="exact"/>
        <w:ind w:firstLine="640" w:firstLineChars="200"/>
        <w:rPr>
          <w:rFonts w:ascii="仿宋" w:hAnsi="仿宋" w:eastAsia="仿宋"/>
          <w:szCs w:val="32"/>
        </w:rPr>
      </w:pPr>
      <w:r>
        <w:rPr>
          <w:rFonts w:hint="eastAsia" w:ascii="仿宋" w:hAnsi="仿宋" w:eastAsia="仿宋"/>
          <w:szCs w:val="32"/>
        </w:rPr>
        <w:t>（一）绩效评价组织情况</w:t>
      </w:r>
    </w:p>
    <w:p>
      <w:pPr>
        <w:spacing w:line="560" w:lineRule="exact"/>
        <w:ind w:left="636"/>
        <w:rPr>
          <w:rFonts w:ascii="仿宋" w:hAnsi="仿宋" w:eastAsia="仿宋"/>
          <w:szCs w:val="32"/>
        </w:rPr>
      </w:pPr>
      <w:r>
        <w:rPr>
          <w:rFonts w:hint="eastAsia" w:ascii="仿宋" w:hAnsi="仿宋" w:eastAsia="仿宋"/>
          <w:color w:val="000000"/>
          <w:szCs w:val="32"/>
        </w:rPr>
        <w:t>1.</w:t>
      </w:r>
      <w:r>
        <w:rPr>
          <w:rFonts w:hint="eastAsia" w:ascii="仿宋" w:hAnsi="仿宋" w:eastAsia="仿宋"/>
          <w:szCs w:val="32"/>
        </w:rPr>
        <w:t xml:space="preserve"> 依据冀政[2011]28号《河北省公共租赁住房管理办法》</w:t>
      </w:r>
    </w:p>
    <w:p>
      <w:pPr>
        <w:spacing w:line="560" w:lineRule="exact"/>
        <w:ind w:firstLine="640" w:firstLineChars="200"/>
        <w:jc w:val="left"/>
        <w:rPr>
          <w:rFonts w:ascii="仿宋" w:hAnsi="仿宋" w:eastAsia="仿宋"/>
          <w:color w:val="000000"/>
          <w:szCs w:val="32"/>
        </w:rPr>
      </w:pPr>
      <w:r>
        <w:rPr>
          <w:rFonts w:hint="eastAsia" w:ascii="仿宋" w:hAnsi="仿宋" w:eastAsia="仿宋"/>
          <w:szCs w:val="32"/>
        </w:rPr>
        <w:t>依据冀建保[2014]2号《关于推进保障性住房统筹建设并轨运行的实施意见》；公租房维修费包含公共租赁住房的主体机构的维修、室内维修、公共部位公共设施的维修等费用。</w:t>
      </w:r>
    </w:p>
    <w:p>
      <w:pPr>
        <w:spacing w:line="560" w:lineRule="exact"/>
        <w:ind w:firstLine="640" w:firstLineChars="200"/>
        <w:rPr>
          <w:rFonts w:ascii="仿宋" w:hAnsi="仿宋" w:eastAsia="仿宋"/>
          <w:szCs w:val="32"/>
        </w:rPr>
      </w:pPr>
      <w:r>
        <w:rPr>
          <w:rFonts w:hint="eastAsia" w:ascii="仿宋" w:hAnsi="仿宋" w:eastAsia="仿宋"/>
          <w:color w:val="000000"/>
          <w:szCs w:val="32"/>
        </w:rPr>
        <w:t>2、</w:t>
      </w:r>
      <w:r>
        <w:rPr>
          <w:rFonts w:hint="eastAsia" w:ascii="仿宋" w:hAnsi="仿宋" w:eastAsia="仿宋"/>
          <w:szCs w:val="32"/>
        </w:rPr>
        <w:t>加强组织领导。按照管理范围，相关各房管所、物业公司成立相应组织机构，结合自身实际制定详细的实施方案，落实具体责任，形成事事有人管、人人有责任的局面。</w:t>
      </w:r>
    </w:p>
    <w:p>
      <w:pPr>
        <w:spacing w:line="560" w:lineRule="exact"/>
        <w:ind w:firstLine="640" w:firstLineChars="200"/>
        <w:rPr>
          <w:rFonts w:ascii="仿宋" w:hAnsi="仿宋" w:eastAsia="仿宋"/>
          <w:szCs w:val="32"/>
        </w:rPr>
      </w:pPr>
      <w:r>
        <w:rPr>
          <w:rFonts w:hint="eastAsia" w:ascii="仿宋" w:hAnsi="仿宋" w:eastAsia="仿宋"/>
          <w:szCs w:val="32"/>
        </w:rPr>
        <w:t>3、建立完善督导检查和考核制度。住保中心制定具体考核标准，定期开展督导检查，工作纳入年底各房管所、物业公司班子考核体系，与各单位经济利益挂钩。</w:t>
      </w:r>
    </w:p>
    <w:p>
      <w:pPr>
        <w:spacing w:line="560" w:lineRule="exact"/>
        <w:ind w:firstLine="640" w:firstLineChars="200"/>
        <w:rPr>
          <w:rFonts w:ascii="仿宋" w:hAnsi="仿宋" w:eastAsia="仿宋"/>
          <w:color w:val="000000"/>
          <w:szCs w:val="32"/>
        </w:rPr>
      </w:pPr>
      <w:r>
        <w:rPr>
          <w:rFonts w:hint="eastAsia" w:ascii="仿宋" w:hAnsi="仿宋" w:eastAsia="仿宋"/>
          <w:szCs w:val="32"/>
        </w:rPr>
        <w:t>4、建立问责制度。层层签订责任书，建立分工明确、层层落实、切实有效的责任机制。</w:t>
      </w:r>
    </w:p>
    <w:p>
      <w:pPr>
        <w:snapToGrid w:val="0"/>
        <w:spacing w:line="560" w:lineRule="exact"/>
        <w:ind w:firstLine="640" w:firstLineChars="200"/>
        <w:rPr>
          <w:rFonts w:ascii="仿宋" w:hAnsi="仿宋" w:eastAsia="仿宋"/>
          <w:szCs w:val="32"/>
        </w:rPr>
      </w:pPr>
      <w:r>
        <w:rPr>
          <w:rFonts w:hint="eastAsia" w:ascii="仿宋" w:hAnsi="仿宋" w:eastAsia="仿宋"/>
          <w:szCs w:val="32"/>
        </w:rPr>
        <w:t>（二）评估内容</w:t>
      </w:r>
    </w:p>
    <w:p>
      <w:pPr>
        <w:spacing w:line="560" w:lineRule="exact"/>
        <w:ind w:firstLine="640" w:firstLineChars="200"/>
        <w:jc w:val="left"/>
        <w:rPr>
          <w:rFonts w:ascii="仿宋" w:hAnsi="仿宋" w:eastAsia="仿宋"/>
          <w:color w:val="000000"/>
          <w:szCs w:val="32"/>
        </w:rPr>
      </w:pPr>
      <w:r>
        <w:rPr>
          <w:rFonts w:hint="eastAsia" w:ascii="仿宋" w:hAnsi="仿宋" w:eastAsia="仿宋"/>
          <w:szCs w:val="32"/>
        </w:rPr>
        <w:t>1. 公租房维修费包含公共租赁住房主体机构的维修、室内维修、公共部位公共设施的维修等费用。</w:t>
      </w:r>
    </w:p>
    <w:p>
      <w:pPr>
        <w:spacing w:line="560" w:lineRule="exact"/>
        <w:ind w:firstLine="640" w:firstLineChars="200"/>
        <w:rPr>
          <w:rFonts w:ascii="仿宋" w:hAnsi="仿宋" w:eastAsia="仿宋"/>
          <w:szCs w:val="32"/>
        </w:rPr>
      </w:pPr>
      <w:r>
        <w:rPr>
          <w:rFonts w:hint="eastAsia" w:ascii="仿宋" w:hAnsi="仿宋" w:eastAsia="仿宋"/>
          <w:szCs w:val="32"/>
        </w:rPr>
        <w:t>2.</w:t>
      </w:r>
      <w:r>
        <w:rPr>
          <w:rFonts w:ascii="仿宋" w:hAnsi="仿宋" w:eastAsia="仿宋"/>
          <w:szCs w:val="32"/>
        </w:rPr>
        <w:t xml:space="preserve"> </w:t>
      </w:r>
      <w:r>
        <w:rPr>
          <w:rFonts w:hint="eastAsia" w:ascii="仿宋" w:hAnsi="仿宋" w:eastAsia="仿宋"/>
          <w:szCs w:val="32"/>
        </w:rPr>
        <w:t>市住房保障管理中心每半年对公租房运营管理单位维修情况进行检查，检查结果作为核拨维修费的依据，对公租房运营管理单位存在未按规定进行维修不到位的，市住房保障管理中心将按照《唐山市中心区保障性住房后期管理评比方案（试行）》给予处理。对检查发现公租房运营管理单位工作人员纵容、隐瞒转借（租）、改变用途、变相将房屋抵押等违规使用行为的，依法依纪追究责任。</w:t>
      </w:r>
    </w:p>
    <w:p>
      <w:pPr>
        <w:spacing w:line="560" w:lineRule="exact"/>
        <w:ind w:firstLine="640" w:firstLineChars="200"/>
        <w:rPr>
          <w:rFonts w:ascii="仿宋" w:hAnsi="仿宋" w:eastAsia="仿宋"/>
        </w:rPr>
      </w:pPr>
      <w:r>
        <w:rPr>
          <w:rFonts w:hint="eastAsia" w:ascii="仿宋" w:hAnsi="仿宋" w:eastAsia="仿宋"/>
        </w:rPr>
        <w:t>3.项目资金严格执行《</w:t>
      </w:r>
      <w:r>
        <w:rPr>
          <w:rFonts w:hint="eastAsia" w:ascii="仿宋" w:hAnsi="仿宋" w:eastAsia="仿宋"/>
          <w:lang w:eastAsia="zh-CN"/>
        </w:rPr>
        <w:t>中华人民共和国</w:t>
      </w:r>
      <w:r>
        <w:rPr>
          <w:rFonts w:hint="eastAsia" w:ascii="仿宋" w:hAnsi="仿宋" w:eastAsia="仿宋"/>
        </w:rPr>
        <w:t>会计法》和《</w:t>
      </w:r>
      <w:r>
        <w:rPr>
          <w:rFonts w:hint="eastAsia" w:ascii="仿宋" w:hAnsi="仿宋" w:eastAsia="仿宋"/>
          <w:lang w:eastAsia="zh-CN"/>
        </w:rPr>
        <w:t>中华人民共和国</w:t>
      </w:r>
      <w:r>
        <w:rPr>
          <w:rFonts w:hint="eastAsia" w:ascii="仿宋" w:hAnsi="仿宋" w:eastAsia="仿宋"/>
        </w:rPr>
        <w:t>预算法》，单位财务管理制度规范，项目资金使用本着专款专用的原则，单独建账，单独管理，充分做到了专款专用。</w:t>
      </w:r>
      <w:r>
        <w:rPr>
          <w:rFonts w:hint="eastAsia" w:ascii="仿宋" w:hAnsi="仿宋" w:eastAsia="仿宋"/>
          <w:szCs w:val="32"/>
        </w:rPr>
        <w:t>项目评价指标为优</w:t>
      </w:r>
    </w:p>
    <w:p>
      <w:pPr>
        <w:snapToGrid w:val="0"/>
        <w:spacing w:line="560" w:lineRule="exact"/>
        <w:ind w:firstLine="640" w:firstLineChars="200"/>
        <w:rPr>
          <w:rFonts w:ascii="仿宋" w:hAnsi="仿宋" w:eastAsia="仿宋"/>
          <w:szCs w:val="32"/>
        </w:rPr>
      </w:pPr>
      <w:r>
        <w:rPr>
          <w:rFonts w:hint="eastAsia" w:ascii="仿宋" w:hAnsi="仿宋" w:eastAsia="仿宋"/>
          <w:szCs w:val="32"/>
        </w:rPr>
        <w:t>（三）项目评估结论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60" w:lineRule="exact"/>
        <w:ind w:firstLine="640" w:firstLineChars="200"/>
        <w:rPr>
          <w:rFonts w:ascii="仿宋" w:hAnsi="仿宋" w:eastAsia="仿宋"/>
        </w:rPr>
      </w:pPr>
      <w:r>
        <w:rPr>
          <w:rFonts w:hint="eastAsia" w:ascii="仿宋" w:hAnsi="仿宋" w:eastAsia="仿宋"/>
        </w:rPr>
        <w:t>1.根据工作安排，以住保中心、各房管所等相关</w:t>
      </w:r>
      <w:bookmarkStart w:id="0" w:name="_GoBack"/>
      <w:bookmarkEnd w:id="0"/>
      <w:r>
        <w:rPr>
          <w:rFonts w:hint="eastAsia" w:ascii="仿宋" w:hAnsi="仿宋" w:eastAsia="仿宋"/>
        </w:rPr>
        <w:t>人员成立了《唐山市2020年度市公共租赁住房后期管理费用重点绩效评价自评小组，进行资料收集整理工作，根据整理的数据分项打分。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560" w:lineRule="exact"/>
        <w:ind w:firstLine="640" w:firstLineChars="200"/>
        <w:rPr>
          <w:rFonts w:ascii="仿宋" w:hAnsi="仿宋" w:eastAsia="仿宋"/>
        </w:rPr>
      </w:pPr>
      <w:r>
        <w:rPr>
          <w:rFonts w:hint="eastAsia" w:ascii="仿宋" w:hAnsi="仿宋" w:eastAsia="仿宋"/>
        </w:rPr>
        <w:t>2.管理绩效评价结果：经过自评小组评定绩效评价总分为99.5分，评价等级为优秀。</w:t>
      </w:r>
    </w:p>
    <w:p>
      <w:pPr>
        <w:spacing w:line="560" w:lineRule="exact"/>
        <w:ind w:firstLine="640" w:firstLineChars="200"/>
        <w:rPr>
          <w:rFonts w:ascii="仿宋" w:hAnsi="仿宋" w:eastAsia="仿宋"/>
          <w:szCs w:val="32"/>
        </w:rPr>
      </w:pPr>
      <w:r>
        <w:rPr>
          <w:rFonts w:hint="eastAsia" w:ascii="仿宋" w:hAnsi="仿宋" w:eastAsia="仿宋"/>
        </w:rPr>
        <w:t>3.</w:t>
      </w:r>
      <w:r>
        <w:rPr>
          <w:rFonts w:hint="eastAsia" w:ascii="仿宋" w:hAnsi="仿宋" w:eastAsia="仿宋"/>
          <w:szCs w:val="32"/>
        </w:rPr>
        <w:t xml:space="preserve"> 公租房后期维修管理坚持以人为本的原则；坚持“以服务为宗旨，以经营为手段，以达到经济效益、社会效益的综合统一”为目的的管理思路，切实规范公租房小区后期管理的秩序，明确管理职责，真正达到公平、公正。</w:t>
      </w:r>
    </w:p>
    <w:p>
      <w:pPr>
        <w:spacing w:line="600" w:lineRule="exact"/>
        <w:ind w:firstLine="640" w:firstLineChars="200"/>
        <w:rPr>
          <w:rFonts w:ascii="黑体" w:hAnsi="黑体" w:eastAsia="黑体"/>
          <w:szCs w:val="32"/>
        </w:rPr>
      </w:pPr>
      <w:r>
        <w:rPr>
          <w:rFonts w:hint="eastAsia" w:ascii="黑体" w:hAnsi="黑体" w:eastAsia="黑体"/>
          <w:szCs w:val="32"/>
        </w:rPr>
        <w:t>五、主要经验及做法、存在的问题及原因分析</w:t>
      </w:r>
    </w:p>
    <w:p>
      <w:pPr>
        <w:spacing w:line="560" w:lineRule="exact"/>
        <w:ind w:firstLine="640" w:firstLineChars="200"/>
        <w:rPr>
          <w:rFonts w:ascii="仿宋_GB2312" w:hAnsi="黑体" w:eastAsia="仿宋_GB2312"/>
          <w:szCs w:val="32"/>
        </w:rPr>
      </w:pPr>
      <w:r>
        <w:rPr>
          <w:rFonts w:hint="eastAsia" w:ascii="仿宋_GB2312" w:hAnsi="黑体" w:eastAsia="仿宋_GB2312"/>
          <w:szCs w:val="32"/>
        </w:rPr>
        <w:t>将维修服务纳入服务承诺内容，减少了维修的投诉率，同时将维修服务纳入公租房后期管理网上办公系统，将维修服务逐渐系统化，智能化。</w:t>
      </w:r>
    </w:p>
    <w:p>
      <w:pPr>
        <w:spacing w:line="600" w:lineRule="exact"/>
        <w:ind w:firstLine="640" w:firstLineChars="200"/>
        <w:rPr>
          <w:rFonts w:ascii="黑体" w:hAnsi="黑体" w:eastAsia="黑体"/>
          <w:szCs w:val="32"/>
        </w:rPr>
      </w:pPr>
      <w:r>
        <w:rPr>
          <w:rFonts w:hint="eastAsia" w:ascii="黑体" w:hAnsi="黑体" w:eastAsia="黑体"/>
          <w:szCs w:val="32"/>
        </w:rPr>
        <w:t>六、有关建议</w:t>
      </w:r>
    </w:p>
    <w:p>
      <w:pPr>
        <w:spacing w:line="600" w:lineRule="exact"/>
        <w:ind w:firstLine="640" w:firstLineChars="200"/>
        <w:rPr>
          <w:rFonts w:ascii="仿宋_GB2312" w:hAnsi="黑体" w:eastAsia="仿宋_GB2312"/>
          <w:szCs w:val="32"/>
        </w:rPr>
      </w:pPr>
      <w:r>
        <w:rPr>
          <w:rFonts w:hint="eastAsia" w:ascii="仿宋_GB2312" w:hAnsi="黑体" w:eastAsia="仿宋_GB2312"/>
          <w:szCs w:val="32"/>
        </w:rPr>
        <w:t>无</w:t>
      </w:r>
    </w:p>
    <w:p>
      <w:pPr>
        <w:spacing w:line="600" w:lineRule="exact"/>
        <w:ind w:firstLine="640" w:firstLineChars="200"/>
        <w:rPr>
          <w:rFonts w:ascii="黑体" w:hAnsi="黑体" w:eastAsia="黑体"/>
          <w:szCs w:val="32"/>
        </w:rPr>
      </w:pPr>
      <w:r>
        <w:rPr>
          <w:rFonts w:hint="eastAsia" w:ascii="黑体" w:hAnsi="黑体" w:eastAsia="黑体"/>
          <w:szCs w:val="32"/>
        </w:rPr>
        <w:t>七、其他需要说明的问题</w:t>
      </w:r>
    </w:p>
    <w:p>
      <w:pPr>
        <w:spacing w:line="300" w:lineRule="exact"/>
      </w:pP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87454"/>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7DFB"/>
    <w:rsid w:val="00052F7C"/>
    <w:rsid w:val="00070A8C"/>
    <w:rsid w:val="00076B26"/>
    <w:rsid w:val="00092147"/>
    <w:rsid w:val="0009390F"/>
    <w:rsid w:val="000D6649"/>
    <w:rsid w:val="000E74C0"/>
    <w:rsid w:val="000F5853"/>
    <w:rsid w:val="00155C9A"/>
    <w:rsid w:val="00210641"/>
    <w:rsid w:val="00215D43"/>
    <w:rsid w:val="00282AB4"/>
    <w:rsid w:val="00284C00"/>
    <w:rsid w:val="002A437A"/>
    <w:rsid w:val="00367D78"/>
    <w:rsid w:val="003961A3"/>
    <w:rsid w:val="003B5A0A"/>
    <w:rsid w:val="003D1948"/>
    <w:rsid w:val="0041590F"/>
    <w:rsid w:val="00427E1F"/>
    <w:rsid w:val="00452851"/>
    <w:rsid w:val="005717C5"/>
    <w:rsid w:val="00577855"/>
    <w:rsid w:val="005A3623"/>
    <w:rsid w:val="00607A6A"/>
    <w:rsid w:val="006D5373"/>
    <w:rsid w:val="006D78D7"/>
    <w:rsid w:val="00735AA7"/>
    <w:rsid w:val="00797690"/>
    <w:rsid w:val="007A533F"/>
    <w:rsid w:val="007C22C5"/>
    <w:rsid w:val="007F1D81"/>
    <w:rsid w:val="0080511A"/>
    <w:rsid w:val="008E62EE"/>
    <w:rsid w:val="00927440"/>
    <w:rsid w:val="00940253"/>
    <w:rsid w:val="00987F0A"/>
    <w:rsid w:val="009A19E7"/>
    <w:rsid w:val="009C6A37"/>
    <w:rsid w:val="00A23091"/>
    <w:rsid w:val="00A3298E"/>
    <w:rsid w:val="00A6566B"/>
    <w:rsid w:val="00A81556"/>
    <w:rsid w:val="00B071DA"/>
    <w:rsid w:val="00B11A5B"/>
    <w:rsid w:val="00B348F6"/>
    <w:rsid w:val="00B531FE"/>
    <w:rsid w:val="00B575CA"/>
    <w:rsid w:val="00B678A5"/>
    <w:rsid w:val="00B960DF"/>
    <w:rsid w:val="00BE1905"/>
    <w:rsid w:val="00C178F8"/>
    <w:rsid w:val="00C30B22"/>
    <w:rsid w:val="00C4270F"/>
    <w:rsid w:val="00C43976"/>
    <w:rsid w:val="00C67DFB"/>
    <w:rsid w:val="00C95837"/>
    <w:rsid w:val="00CA5FAF"/>
    <w:rsid w:val="00CF5FE2"/>
    <w:rsid w:val="00D35F2E"/>
    <w:rsid w:val="00D40A45"/>
    <w:rsid w:val="00E5638A"/>
    <w:rsid w:val="00E76CA6"/>
    <w:rsid w:val="00EA30D3"/>
    <w:rsid w:val="00F02C6A"/>
    <w:rsid w:val="00F255D2"/>
    <w:rsid w:val="00F266C4"/>
    <w:rsid w:val="00F70B1D"/>
    <w:rsid w:val="00F75649"/>
    <w:rsid w:val="00FB7FBE"/>
    <w:rsid w:val="00FC3140"/>
    <w:rsid w:val="1BF82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281</Words>
  <Characters>1608</Characters>
  <Lines>13</Lines>
  <Paragraphs>3</Paragraphs>
  <TotalTime>130</TotalTime>
  <ScaleCrop>false</ScaleCrop>
  <LinksUpToDate>false</LinksUpToDate>
  <CharactersWithSpaces>1886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2021-02-20T02:01:00Z</dcterms:created>
  <dc:creator>微软用户</dc:creator>
  <cp:lastModifiedBy>lenovo</cp:lastModifiedBy>
  <cp:lastPrinted>2021-02-25T03:17:00Z</cp:lastPrinted>
  <dcterms:modified xsi:type="dcterms:W3CDTF">2024-03-19T01:28:40Z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