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二〇二〇年八月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974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3673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highlight w:val="yellow"/>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唐山市住房和城乡建设局</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二〇二〇年八月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fill type="pattern" on="t" color2="#FFFFFF [3212]" focussize="0,0" r:id="rId25"/>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根据《唐山市住房和城乡建设局职能配置、内设机构和人员编制方案》规定，唐山市住房和城乡建设局的主要职责是：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贯彻执行国家和省市有关住房和城乡建设管理的方针、政策和法律法规；拟定全市住房和城乡建设发展中长期规划和年度计划；起草全市工程建设、县（市）和村镇建设、建筑业、建设开发业、勘查设计咨询业、住房保障、房产管理和物业管理等地方性法规规章草案，拟定相关政策。</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承担规范住房和城乡建设管理秩序的责任。负责全市住房和城乡建设行政管理、行业管理；行政执法和监督检查；指导各县（市）区、开发区（管理区）住房和城乡建设工作；指导住房和城乡建设系统协会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承担保障城镇低收入家庭住房的责任。拟定住房保障相关政策并指导实施；拟定住房保障及保障性住房发展规划和年度计划并监督实施；会同有关部门做好中央、省和市廉租住房资金安排并监督实施；负责住房制度改革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4、承担全市房产市场监督管理的责任。会同有关部门规范房地产市场秩序，监督管理房地产市场，共同拟定房地产监管政策，并按职责分工落实；负责房地产信息系统建设和管理工作。</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负责房产交易、房屋登记、房屋租赁和房屋面积管理工作；负责全市商品房销（预）售管理工作；负责房屋评估机构、经纪机构及其从业人员的管理工作；负责城镇房屋拆迁管理工作，负责拟定城中村改造和危旧房改造工作计划，并进行政策指导和监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6、负责全市房屋修缮、安全和装饰装修等使用管理，房屋安全技术鉴定工作。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7、承担物业管理工作的责任。负责对物业管理企业的资质审核、审批；指导、监督、规范物业管理行为；指导、鉴定专项维修资金归集和使用。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制定工程建设市场方面的各项规划、措施；负责全市的工程建设管理以及重大项目建设的监督管理工作；贯彻实施国家、省工程建设质量和安全施工法律、法规以及各类工程建设标准，对全市工程建设质量和安全施工进行监督管理，负责竣工验收备案工作；负责对本市建设市场的监督管理，规范市场各方主体行为；负责工程建设招投标管理和招投标代理机构的资格认定；负责对全市建设市场中介机构、监测机构的管理和资格认定；负责工程造价管理和造价咨询机构的监督管理；负责建设开发企业资质审查和监督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承担建设施工行业管理的责任。对本市建设行业各类施工企业进行资质审查和监督管理；负责建设工程现场管理；负责建筑装修业的管理；负责进出市施工企业的注册管理和市场行为的监督管理；负责对工程建设监理机构的资质审查和监督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10、负责城市建设勘察设计行业管理和勘察设计单位资质管理；负责建设行业的科技管理，组织制定科技发展规划和技术经济政策，组织中的科技项目公关和科技成果评审、鉴定、转化和推广工作。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11、承担指导县（市）及村镇建设工作的责任。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12、负责全市供热、燃气事业的管理工作；指导实施供热、燃气年度建设项目计划。</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13、负责全市政府投资工程项目代建的监督、管理、协调和指导工作；负责政府投资非经营性项目代建公司的资格审查、认定和日常管理工作；负责非经营性代建项目的组织实施管理。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14、管理建设开发、施工行业对外经济技术合作和引进利用外资工作，指导组织企业参与对外工程承包和对外劳务合作。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15、贯彻执行城镇各类房屋建筑及其附属设施和城市市政工程建设的抗震设计规范；负责全市建筑节能、墙体材料革新、粉00煤灰及工业废渣综合利用工作；负责城市建设档案管理工作。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16、管理局机关及所属单位的干部、人事、劳资和机构编制工作；负责行业人才队伍建设和执业资格注册管理工作；负责行业职工队伍培训和继续教育工作。</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17、承办市政府交办的其他事项。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年度本部门决算汇编范围的独立核算单位（以下简称“单位”）共17个，具体情况如下：</w:t>
      </w:r>
    </w:p>
    <w:p>
      <w:pPr>
        <w:spacing w:line="580" w:lineRule="exact"/>
        <w:ind w:firstLine="640" w:firstLineChars="200"/>
        <w:rPr>
          <w:rFonts w:ascii="仿宋_GB2312" w:hAnsi="Calibri" w:eastAsia="仿宋_GB2312" w:cs="ArialUnicodeMS"/>
          <w:kern w:val="0"/>
          <w:sz w:val="32"/>
          <w:szCs w:val="32"/>
        </w:rPr>
      </w:pPr>
    </w:p>
    <w:tbl>
      <w:tblPr>
        <w:tblStyle w:val="8"/>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08"/>
        <w:gridCol w:w="2522"/>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08"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522"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唐山市住房和城乡建设局（本级）</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行政单位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唐山市城市建设档案馆</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唐山市建设工程质量监督检测站</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4</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唐山市工程建设造价管理站</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5</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唐山市墙体材料革新办公室</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6</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唐山市建设工程招投标办公室</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7</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唐山市住房和城乡建设执法监察局</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8</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唐山市政府投资工程建设管理中心</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9</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唐山市建筑工程施工安全监督站</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10</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唐山市房屋征收中心</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11</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唐山市住房保障管理中心</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12</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唐山市住房和城乡建设局信息中心</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13</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kern w:val="0"/>
                <w:sz w:val="24"/>
                <w:szCs w:val="24"/>
              </w:rPr>
              <w:t>唐山市房屋安全管理中心</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14</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sz w:val="24"/>
                <w:szCs w:val="24"/>
              </w:rPr>
              <w:t>唐山市房地产交易中心</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15</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sz w:val="24"/>
                <w:szCs w:val="24"/>
              </w:rPr>
              <w:t>唐山市住宅专项维修资金管理中心</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16</w:t>
            </w:r>
          </w:p>
        </w:tc>
        <w:tc>
          <w:tcPr>
            <w:tcW w:w="3408" w:type="dxa"/>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sz w:val="24"/>
                <w:szCs w:val="24"/>
              </w:rPr>
              <w:t>唐山市住房和城乡建设局执业资格注册和教育中心</w:t>
            </w:r>
          </w:p>
        </w:tc>
        <w:tc>
          <w:tcPr>
            <w:tcW w:w="2522"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17</w:t>
            </w:r>
          </w:p>
        </w:tc>
        <w:tc>
          <w:tcPr>
            <w:tcW w:w="3408" w:type="dxa"/>
            <w:tcBorders>
              <w:bottom w:val="single" w:color="auto" w:sz="4" w:space="0"/>
            </w:tcBorders>
            <w:vAlign w:val="center"/>
          </w:tcPr>
          <w:p>
            <w:pPr>
              <w:widowControl/>
              <w:jc w:val="center"/>
              <w:rPr>
                <w:rFonts w:ascii="仿宋_GB2312" w:hAnsi="Calibri" w:eastAsia="仿宋_GB2312" w:cs="ArialUnicodeMS"/>
                <w:kern w:val="0"/>
                <w:sz w:val="24"/>
                <w:szCs w:val="24"/>
              </w:rPr>
            </w:pPr>
            <w:r>
              <w:rPr>
                <w:rFonts w:hint="eastAsia" w:ascii="仿宋_GB2312" w:hAnsi="仿宋_GB2312" w:eastAsia="仿宋_GB2312" w:cs="仿宋_GB2312"/>
                <w:color w:val="000000"/>
                <w:sz w:val="24"/>
                <w:szCs w:val="24"/>
              </w:rPr>
              <w:t>唐山市燃气供热安全管理站</w:t>
            </w:r>
          </w:p>
        </w:tc>
        <w:tc>
          <w:tcPr>
            <w:tcW w:w="2522" w:type="dxa"/>
            <w:tcBorders>
              <w:bottom w:val="single" w:color="auto" w:sz="4" w:space="0"/>
            </w:tcBorders>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财政补助事业单位</w:t>
            </w:r>
          </w:p>
        </w:tc>
        <w:tc>
          <w:tcPr>
            <w:tcW w:w="2665" w:type="dxa"/>
            <w:tcBorders>
              <w:bottom w:val="single" w:color="auto" w:sz="4" w:space="0"/>
            </w:tcBorders>
          </w:tcPr>
          <w:p>
            <w:pPr>
              <w:spacing w:line="560" w:lineRule="exact"/>
              <w:jc w:val="center"/>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fill type="pattern" on="t" color2="#FFFFFF [3212]" focussize="0,0" r:id="rId25"/>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w:t>
      </w:r>
      <w:r>
        <w:rPr>
          <w:rFonts w:hint="eastAsia" w:ascii="仿宋_GB2312" w:hAnsi="Times New Roman" w:eastAsia="仿宋_GB2312" w:cs="DengXian-Regular"/>
          <w:sz w:val="32"/>
          <w:szCs w:val="32"/>
          <w:lang w:eastAsia="zh-CN"/>
        </w:rPr>
        <w:t>支</w:t>
      </w:r>
      <w:r>
        <w:rPr>
          <w:rFonts w:hint="eastAsia" w:ascii="仿宋_GB2312" w:hAnsi="Times New Roman" w:eastAsia="仿宋_GB2312" w:cs="DengXian-Regular"/>
          <w:sz w:val="32"/>
          <w:szCs w:val="32"/>
        </w:rPr>
        <w:t>总计（含年初结转和结余）103372.5万元。与2018年度决算相比，</w:t>
      </w:r>
      <w:r>
        <w:rPr>
          <w:rFonts w:hint="eastAsia" w:ascii="仿宋_GB2312" w:hAnsi="Times New Roman" w:eastAsia="仿宋_GB2312" w:cs="DengXian-Regular"/>
          <w:sz w:val="32"/>
          <w:szCs w:val="32"/>
          <w:lang w:eastAsia="zh-CN"/>
        </w:rPr>
        <w:t>收支各</w:t>
      </w:r>
      <w:r>
        <w:rPr>
          <w:rFonts w:hint="eastAsia" w:ascii="仿宋_GB2312" w:hAnsi="Times New Roman" w:eastAsia="仿宋_GB2312" w:cs="DengXian-Regular"/>
          <w:sz w:val="32"/>
          <w:szCs w:val="32"/>
        </w:rPr>
        <w:t>增加12517.66万元，增长13.78%，主要原因是年初</w:t>
      </w:r>
      <w:r>
        <w:rPr>
          <w:rFonts w:hint="eastAsia" w:ascii="仿宋_GB2312" w:hAnsi="Times New Roman" w:eastAsia="仿宋_GB2312" w:cs="DengXian-Regular"/>
          <w:sz w:val="32"/>
          <w:szCs w:val="32"/>
          <w:lang w:eastAsia="zh-CN"/>
        </w:rPr>
        <w:t>和年末</w:t>
      </w:r>
      <w:r>
        <w:rPr>
          <w:rFonts w:hint="eastAsia" w:ascii="仿宋_GB2312" w:hAnsi="Times New Roman" w:eastAsia="仿宋_GB2312" w:cs="DengXian-Regular"/>
          <w:sz w:val="32"/>
          <w:szCs w:val="32"/>
        </w:rPr>
        <w:t>结转结余增加。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 xml:space="preserve">二、收入决算情况说明                                                                                                                                                                                                                                                                                                                                                                                                                                                                                                                                                                                                                                                                                                                                                                                                                                                                                                                                                                                                                                                                                                                                                                                                                                                                                                                                                                                                                                                                        </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89</w:t>
      </w:r>
      <w:r>
        <w:rPr>
          <w:rFonts w:hint="eastAsia" w:ascii="仿宋_GB2312" w:hAnsi="Times New Roman" w:eastAsia="仿宋_GB2312" w:cs="DengXian-Regular"/>
          <w:sz w:val="32"/>
          <w:szCs w:val="32"/>
        </w:rPr>
        <w:t>544.33万元，其中：财政拨款收入89539.63万元，占99.99%；其他收入4.7万元，占0.01%。</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437284864" behindDoc="1" locked="0" layoutInCell="1" allowOverlap="1">
            <wp:simplePos x="0" y="0"/>
            <wp:positionH relativeFrom="column">
              <wp:posOffset>725170</wp:posOffset>
            </wp:positionH>
            <wp:positionV relativeFrom="paragraph">
              <wp:posOffset>331470</wp:posOffset>
            </wp:positionV>
            <wp:extent cx="3600450" cy="2362200"/>
            <wp:effectExtent l="0" t="0" r="19050" b="19050"/>
            <wp:wrapNone/>
            <wp:docPr id="225" name="图表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pPr>
        <w:adjustRightInd w:val="0"/>
        <w:snapToGrid w:val="0"/>
        <w:spacing w:line="580" w:lineRule="exact"/>
        <w:ind w:firstLine="643" w:firstLineChars="200"/>
        <w:rPr>
          <w:rFonts w:ascii="黑体" w:hAnsi="Calibri" w:eastAsia="黑体" w:cs="Times New Roman"/>
          <w:b/>
          <w:bCs/>
          <w:sz w:val="32"/>
          <w:szCs w:val="32"/>
        </w:rPr>
      </w:pPr>
    </w:p>
    <w:p>
      <w:pPr>
        <w:adjustRightInd w:val="0"/>
        <w:snapToGrid w:val="0"/>
        <w:spacing w:line="580" w:lineRule="exact"/>
        <w:ind w:firstLine="643" w:firstLineChars="200"/>
        <w:rPr>
          <w:rFonts w:ascii="黑体" w:hAnsi="Calibri" w:eastAsia="黑体" w:cs="Times New Roman"/>
          <w:b/>
          <w:bCs/>
          <w:sz w:val="32"/>
          <w:szCs w:val="32"/>
        </w:rPr>
      </w:pPr>
    </w:p>
    <w:p>
      <w:pPr>
        <w:adjustRightInd w:val="0"/>
        <w:snapToGrid w:val="0"/>
        <w:spacing w:line="580" w:lineRule="exact"/>
        <w:ind w:firstLine="643" w:firstLineChars="200"/>
        <w:rPr>
          <w:rFonts w:ascii="黑体" w:hAnsi="Calibri" w:eastAsia="黑体" w:cs="Times New Roman"/>
          <w:b/>
          <w:bCs/>
          <w:sz w:val="32"/>
          <w:szCs w:val="32"/>
        </w:rPr>
      </w:pPr>
    </w:p>
    <w:p>
      <w:pPr>
        <w:adjustRightInd w:val="0"/>
        <w:snapToGrid w:val="0"/>
        <w:spacing w:line="580" w:lineRule="exact"/>
        <w:ind w:firstLine="643" w:firstLineChars="200"/>
        <w:rPr>
          <w:rFonts w:ascii="黑体" w:hAnsi="Calibri" w:eastAsia="黑体" w:cs="Times New Roman"/>
          <w:b/>
          <w:bCs/>
          <w:sz w:val="32"/>
          <w:szCs w:val="32"/>
        </w:rPr>
      </w:pPr>
    </w:p>
    <w:p>
      <w:pPr>
        <w:adjustRightInd w:val="0"/>
        <w:snapToGrid w:val="0"/>
        <w:spacing w:line="580" w:lineRule="exact"/>
        <w:ind w:firstLine="643" w:firstLineChars="200"/>
        <w:rPr>
          <w:rFonts w:ascii="黑体" w:hAnsi="Calibri" w:eastAsia="黑体" w:cs="Times New Roman"/>
          <w:b/>
          <w:bCs/>
          <w:sz w:val="32"/>
          <w:szCs w:val="32"/>
        </w:rPr>
      </w:pPr>
    </w:p>
    <w:p>
      <w:pPr>
        <w:adjustRightInd w:val="0"/>
        <w:snapToGrid w:val="0"/>
        <w:spacing w:line="580" w:lineRule="exact"/>
        <w:ind w:firstLine="643" w:firstLineChars="200"/>
        <w:rPr>
          <w:rFonts w:ascii="黑体" w:hAnsi="Calibri" w:eastAsia="黑体" w:cs="Times New Roman"/>
          <w:b/>
          <w:bCs/>
          <w:sz w:val="32"/>
          <w:szCs w:val="32"/>
        </w:rPr>
      </w:pPr>
    </w:p>
    <w:p>
      <w:pPr>
        <w:adjustRightInd w:val="0"/>
        <w:snapToGrid w:val="0"/>
        <w:spacing w:line="580" w:lineRule="exact"/>
        <w:ind w:firstLine="643" w:firstLineChars="200"/>
        <w:rPr>
          <w:rFonts w:ascii="黑体" w:hAnsi="Calibri" w:eastAsia="黑体" w:cs="Times New Roman"/>
          <w:b/>
          <w:bCs/>
          <w:sz w:val="32"/>
          <w:szCs w:val="32"/>
        </w:rPr>
      </w:pPr>
    </w:p>
    <w:p>
      <w:pPr>
        <w:adjustRightInd w:val="0"/>
        <w:snapToGrid w:val="0"/>
        <w:spacing w:line="580" w:lineRule="exact"/>
        <w:ind w:firstLine="643" w:firstLineChars="200"/>
        <w:rPr>
          <w:rFonts w:ascii="黑体" w:hAnsi="Calibri" w:eastAsia="黑体" w:cs="Times New Roman"/>
          <w:b/>
          <w:bCs/>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本部门2019年度本年支出合计51394.14万元，其中：基本支出10341.69万元，占20.12%；项目支出41052.45万元，占79.88%。如图所示：</w:t>
      </w:r>
    </w:p>
    <w:p>
      <w:pPr>
        <w:adjustRightInd w:val="0"/>
        <w:snapToGrid w:val="0"/>
        <w:spacing w:line="580" w:lineRule="exact"/>
        <w:ind w:firstLine="1920" w:firstLineChars="600"/>
        <w:rPr>
          <w:rFonts w:ascii="仿宋_GB2312" w:hAnsi="Times New Roman" w:eastAsia="仿宋_GB2312" w:cs="DengXian-Regular"/>
          <w:sz w:val="32"/>
          <w:szCs w:val="32"/>
        </w:rPr>
      </w:pPr>
      <w:r>
        <w:rPr>
          <w:rFonts w:ascii="仿宋_GB2312" w:hAnsi="Times New Roman" w:eastAsia="仿宋_GB2312" w:cs="DengXian-Regular"/>
          <w:sz w:val="32"/>
          <w:szCs w:val="32"/>
        </w:rPr>
        <w:drawing>
          <wp:anchor distT="0" distB="0" distL="114300" distR="114300" simplePos="0" relativeHeight="437283840" behindDoc="1" locked="0" layoutInCell="1" allowOverlap="1">
            <wp:simplePos x="0" y="0"/>
            <wp:positionH relativeFrom="column">
              <wp:posOffset>829310</wp:posOffset>
            </wp:positionH>
            <wp:positionV relativeFrom="paragraph">
              <wp:posOffset>315595</wp:posOffset>
            </wp:positionV>
            <wp:extent cx="4086225" cy="2152650"/>
            <wp:effectExtent l="0" t="0" r="9525" b="19050"/>
            <wp:wrapNone/>
            <wp:docPr id="224" name="图表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pPr>
        <w:adjustRightInd w:val="0"/>
        <w:snapToGrid w:val="0"/>
        <w:spacing w:line="580" w:lineRule="exact"/>
        <w:ind w:firstLine="1920" w:firstLineChars="600"/>
        <w:rPr>
          <w:rFonts w:ascii="仿宋_GB2312" w:hAnsi="Times New Roman" w:eastAsia="仿宋_GB2312" w:cs="DengXian-Regular"/>
          <w:sz w:val="32"/>
          <w:szCs w:val="32"/>
        </w:rPr>
      </w:pPr>
    </w:p>
    <w:p>
      <w:pPr>
        <w:tabs>
          <w:tab w:val="left" w:pos="4230"/>
        </w:tabs>
        <w:adjustRightInd w:val="0"/>
        <w:snapToGrid w:val="0"/>
        <w:spacing w:line="580" w:lineRule="exact"/>
        <w:ind w:firstLine="1920" w:firstLineChars="600"/>
        <w:rPr>
          <w:rFonts w:ascii="仿宋_GB2312" w:hAnsi="Times New Roman" w:eastAsia="仿宋_GB2312" w:cs="DengXian-Regular"/>
          <w:sz w:val="32"/>
          <w:szCs w:val="32"/>
        </w:rPr>
      </w:pPr>
      <w:r>
        <w:rPr>
          <w:rFonts w:ascii="仿宋_GB2312" w:hAnsi="Times New Roman" w:eastAsia="仿宋_GB2312" w:cs="DengXian-Regular"/>
          <w:sz w:val="32"/>
          <w:szCs w:val="32"/>
        </w:rPr>
        <w:tab/>
      </w: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89539.63万元,比2018年度增加1113.13万元，增长1.26%，主要是增加了三个预算单位；本年支出51366.77万元，减少24545.7万元，降低32.33%，主要是老旧小区改造等项目未全部支出，形成年末结转资金。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86341.81万元，比上年增加31718.19万元，增长58.07%；原因一是增加了三家预算单位，二是收到中央财政拨付保障性安居工程项目资金，用于老旧小区改造；本年支出48511.31万元，比上年增加4765.71万元，增长10.89%，主要是增加了三家预算单位。</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3197.82万元，比上年减少30605.06万元，降低90.54%，主要原因是减少了保障性住房项目资金；本年支出2855.46万元，比上年减少29311.44万元，降低91.12%，主要是减少了保障性住房项目资金支出。</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89539.63万元，完成年初预算的113.66%,比年初预算增加10758.45万元，决算数大于预算数主要原因是预算执行过程中追加了老旧小区改造项目资金；本年支出51366.77万元，完成年初预算的65.2%,比年初预算减少27414.41万元，决算数小于预算数主要原因是保障性住房项目尚未完成财务审计和投资概算调整程序，因此未拨付工程款。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436.48%，比年初预算增加66560.63万元，主要是预算执行过程中追加了老旧小区改造项目资金（包括下达了中央资金和债券资金等）；支出完成年初预算的245.23%，比年初预算增加28730.13万元，主要是老旧小区改造项目资金支出较年初预算增大。</w:t>
      </w:r>
    </w:p>
    <w:p>
      <w:pPr>
        <w:numPr>
          <w:ilvl w:val="0"/>
          <w:numId w:val="2"/>
        </w:numPr>
        <w:adjustRightInd w:val="0"/>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5.42%，比年初预算减少55802.18万元，主要是保障性住房项目尚未完成财务审计和投资概算调整程序，因此未拨付工程款；支出完成年初预算4.84%，比年初预算减少56144.5万元，原因是保障性住房项目尚未完成财务审计和投资概算调整程序，因此未拨付工程款。</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年度财政拨款支出51366.77万元，主要用于以下方面：教育（类）支出37.69万元，占0.07%；社会保障和就业（类）支出616.78万元，占 1.2%；卫生健康（类）支出 663.7万元，占1.29%；节能环保（类）支出6403.79万元，占 12.47%;城乡社区（类）支出34824万元，占 67.79%;商业服务业等（类）支出18.11万元，占0.04%;住房保障（类）支出8802.7万元，占 17.14%。</w:t>
      </w:r>
    </w:p>
    <w:p>
      <w:pPr>
        <w:adjustRightInd w:val="0"/>
        <w:snapToGrid w:val="0"/>
        <w:spacing w:line="580" w:lineRule="exact"/>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drawing>
          <wp:anchor distT="0" distB="0" distL="114300" distR="114300" simplePos="0" relativeHeight="437285888" behindDoc="0" locked="0" layoutInCell="1" allowOverlap="1">
            <wp:simplePos x="0" y="0"/>
            <wp:positionH relativeFrom="column">
              <wp:posOffset>162560</wp:posOffset>
            </wp:positionH>
            <wp:positionV relativeFrom="paragraph">
              <wp:posOffset>137795</wp:posOffset>
            </wp:positionV>
            <wp:extent cx="5229225" cy="2705100"/>
            <wp:effectExtent l="38100" t="0" r="9525" b="1905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10314.32万元，其中：人员经费8221.84万元，主要包括基本工资、津贴补贴、奖金、绩效工资、机关事业单位基本养老保险缴费、职业年金缴费、职工基本医疗保险缴费、公务员医疗补助缴费、住房公积金、其他社会保障缴费、其他工资福利支出、离休费、退休费、抚恤金、生活补助、奖励金、其他对个人和家庭的补助支出；公用经费 2092.48万元，主要包括办公费、印刷费、咨询费、手续费、水费、电费、邮电费、取暖费、物业管理费、差旅费、</w:t>
      </w:r>
      <w:r>
        <w:rPr>
          <w:rFonts w:hint="eastAsia" w:ascii="仿宋_GB2312" w:hAnsi="Times New Roman" w:eastAsia="仿宋_GB2312" w:cs="DengXian-Regular"/>
          <w:sz w:val="32"/>
          <w:szCs w:val="32"/>
          <w:highlight w:val="none"/>
        </w:rPr>
        <w:t>维修（护）费、租赁费、会议费、培训费</w:t>
      </w:r>
      <w:r>
        <w:rPr>
          <w:rFonts w:hint="eastAsia" w:ascii="仿宋_GB2312" w:hAnsi="Times New Roman" w:eastAsia="仿宋_GB2312" w:cs="DengXian-Regular"/>
          <w:sz w:val="32"/>
          <w:szCs w:val="32"/>
        </w:rPr>
        <w:t>、公务接待费、专用材料费、劳务费、委托业务费、工会经费、福利费、公务用车运行维护费、其他交通费用、办公设备购置、专用设备购置、信息网络及软件购置更新。</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61万元，完成预算的48.76%,较预算减少64.1万元，降低51.24%，主要是公务用车运行费减少，一是因为2019年事业单位公车改革，取消了公务用车，二是因为各单位节约开支，效果显著；较2018年度减少35.88万元，降低37.04%，主要是减少了公务用车购置费。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（一）因公出国（境）费支出18.11万元。</w:t>
      </w:r>
      <w:r>
        <w:rPr>
          <w:rFonts w:hint="eastAsia" w:ascii="仿宋_GB2312" w:hAnsi="Times New Roman" w:eastAsia="仿宋_GB2312" w:cs="DengXian-Regular"/>
          <w:sz w:val="32"/>
          <w:szCs w:val="32"/>
        </w:rPr>
        <w:t>本部门2019年度因公出国（境）团组1个、共4人，系我市作为</w:t>
      </w:r>
      <w:r>
        <w:rPr>
          <w:rFonts w:ascii="仿宋_GB2312" w:hAnsi="Times New Roman" w:eastAsia="仿宋_GB2312" w:cs="DengXian-Regular"/>
          <w:sz w:val="32"/>
          <w:szCs w:val="32"/>
        </w:rPr>
        <w:t>2019年世界城市日中国主场活动城市，应邀出国参加2019年世界城市日全球主场活动，因此我市代表因的费用在我局预算中安排。</w:t>
      </w:r>
      <w:r>
        <w:rPr>
          <w:rFonts w:hint="eastAsia" w:ascii="仿宋_GB2312" w:hAnsi="Times New Roman" w:eastAsia="仿宋_GB2312" w:cs="DengXian-Regular"/>
          <w:sz w:val="32"/>
          <w:szCs w:val="32"/>
        </w:rPr>
        <w:t>无本单位组织的出国（境）团组。因公出国（境）费支出较预算减少17.66万元，降低49.37%,主要是出国过程严格控制费用开支；较上年增加18.11万元, 是因为</w:t>
      </w:r>
      <w:r>
        <w:rPr>
          <w:rFonts w:ascii="仿宋_GB2312" w:hAnsi="Times New Roman" w:eastAsia="仿宋_GB2312" w:cs="DengXian-Regular"/>
          <w:sz w:val="32"/>
          <w:szCs w:val="32"/>
        </w:rPr>
        <w:t>我市代表</w:t>
      </w:r>
      <w:r>
        <w:rPr>
          <w:rFonts w:hint="eastAsia" w:ascii="仿宋_GB2312" w:hAnsi="Times New Roman" w:eastAsia="仿宋_GB2312" w:cs="DengXian-Regular"/>
          <w:sz w:val="32"/>
          <w:szCs w:val="32"/>
        </w:rPr>
        <w:t>团</w:t>
      </w:r>
      <w:r>
        <w:rPr>
          <w:rFonts w:ascii="仿宋_GB2312" w:hAnsi="Times New Roman" w:eastAsia="仿宋_GB2312" w:cs="DengXian-Regular"/>
          <w:sz w:val="32"/>
          <w:szCs w:val="32"/>
        </w:rPr>
        <w:t>应邀出国参加2019年世界城市日全球主场活动的费用在我局预算中安排。</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（二）公务用车购置及运行维护费支出41.17万元。</w:t>
      </w:r>
      <w:r>
        <w:rPr>
          <w:rFonts w:hint="eastAsia" w:ascii="仿宋_GB2312" w:hAnsi="Times New Roman" w:eastAsia="仿宋_GB2312" w:cs="DengXian-Regular"/>
          <w:sz w:val="32"/>
          <w:szCs w:val="32"/>
        </w:rPr>
        <w:t>本部门2019年度公务用车购置及运行维护费较预算减少42.27万元，降低50.66%,主要原因一是事业单位车改，减少了公务用车；二是各单位节约三公经费开支；较上年减少55.71万元，降低57.5%,主要原因一是上年公务用车购置支出45.35万元，2019年未购置；二是事业单位车改，公务用车进行了处置。</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本部门2019年度未购置公务用车，无“公务用车购置”经费支出。公务用车购置费支出与预算持平</w:t>
      </w:r>
      <w:r>
        <w:rPr>
          <w:rFonts w:hint="eastAsia" w:ascii="仿宋_GB2312" w:hAnsi="Times New Roman" w:eastAsia="仿宋_GB2312" w:cs="DengXian-Regular"/>
          <w:sz w:val="32"/>
          <w:szCs w:val="32"/>
          <w:lang w:eastAsia="zh-CN"/>
        </w:rPr>
        <w:t>，因为无公务车购置需求</w:t>
      </w:r>
      <w:r>
        <w:rPr>
          <w:rFonts w:hint="eastAsia" w:ascii="仿宋_GB2312" w:hAnsi="Times New Roman" w:eastAsia="仿宋_GB2312" w:cs="DengXian-Regular"/>
          <w:sz w:val="32"/>
          <w:szCs w:val="32"/>
        </w:rPr>
        <w:t>；较上年减少45.35万元，降低100%,原因是2019年未购置公务用车。</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26辆。公车运行维护费支出较预算减少42.27万元，降低50.66%,主要原因一是事业单位车改，公务用车进行了处置；二是各单位节约三公经费开支；较上年减少8.5万元，降低17.11%，主要是事业单位车改，公务用车进行了处置。</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（三）公务接待费支出1.71万元。</w:t>
      </w:r>
      <w:r>
        <w:rPr>
          <w:rFonts w:hint="eastAsia" w:ascii="仿宋_GB2312" w:hAnsi="Times New Roman" w:eastAsia="仿宋_GB2312" w:cs="DengXian-Regular"/>
          <w:sz w:val="32"/>
          <w:szCs w:val="32"/>
        </w:rPr>
        <w:t>本部门2019年度公务接待共6批次、27人次。公务接待费支出较预算减少4.18万元，降低70.97%,主要是</w:t>
      </w:r>
      <w:r>
        <w:rPr>
          <w:rFonts w:hint="eastAsia" w:ascii="仿宋_GB2312" w:eastAsia="仿宋_GB2312" w:cs="DengXian-Regular"/>
          <w:sz w:val="32"/>
          <w:szCs w:val="32"/>
        </w:rPr>
        <w:t>积极贯彻落实中央、省、市关于厉行节约的要求，严控公务接待费支出。</w:t>
      </w:r>
      <w:r>
        <w:rPr>
          <w:rFonts w:hint="eastAsia" w:ascii="仿宋_GB2312" w:hAnsi="Times New Roman" w:eastAsia="仿宋_GB2312" w:cs="DengXian-Regular"/>
          <w:sz w:val="32"/>
          <w:szCs w:val="32"/>
        </w:rPr>
        <w:t>；较上年度减少0.15万元，降低8.07%,主要是</w:t>
      </w:r>
      <w:r>
        <w:rPr>
          <w:rFonts w:hint="eastAsia" w:ascii="仿宋_GB2312" w:hAnsi="Times New Roman" w:eastAsia="仿宋_GB2312" w:cs="DengXian-Regular"/>
          <w:sz w:val="32"/>
          <w:szCs w:val="32"/>
          <w:lang w:eastAsia="zh-CN"/>
        </w:rPr>
        <w:t>公务</w:t>
      </w:r>
      <w:r>
        <w:rPr>
          <w:rFonts w:hint="eastAsia" w:ascii="仿宋_GB2312" w:hAnsi="Times New Roman" w:eastAsia="仿宋_GB2312" w:cs="DengXian-Regular"/>
          <w:sz w:val="32"/>
          <w:szCs w:val="32"/>
        </w:rPr>
        <w:t>接待批次及人次较上年有所减少。</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根据预算绩效管理要求，本部门组织对2019年度一般公共预算项目支出全面开展绩效自评，涉及项目11个，共涉及资金</w:t>
      </w:r>
      <w:r>
        <w:rPr>
          <w:rFonts w:hint="eastAsia" w:ascii="仿宋_GB2312" w:hAnsi="仿宋" w:eastAsia="仿宋_GB2312"/>
          <w:sz w:val="32"/>
          <w:szCs w:val="32"/>
        </w:rPr>
        <w:t>23444</w:t>
      </w:r>
      <w:r>
        <w:rPr>
          <w:rFonts w:hint="eastAsia" w:ascii="仿宋_GB2312" w:hAnsi="仿宋_GB2312" w:eastAsia="仿宋_GB2312" w:cs="仿宋_GB2312"/>
          <w:sz w:val="32"/>
          <w:szCs w:val="32"/>
        </w:rPr>
        <w:t>万元，占一般公共预算项目支出总额的61%。组织对2019年度市中心区市管小区增绿工程、市中心区老旧小区提升改造工程（该项目资金性质既包括一般公共预算又包括政府性基金预算）等2个政府性基金预算项目支出开展绩效自评，共涉及资金1626万元，占政府性基金预算项目支出总额的57%。组织对“电子政务网络改造和办公自动化建设项目”“2019年集中供热补贴项目”等12个项目开展了部门评价，涉及一般公共预算支出23444万元，政府性基金预算支出1626万元。从评价情况来看，2019年我部门整体绩效情况完成较好，能够按预算要求执行，预算支出范围符合规定，支出项目细化，资金使用方向明确，管理合规。</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本部门在今年部门决算公开中反映电子政务网络改造和办公自动化建设项目项目及2019年集中供热补贴项目项目等12个项目绩效自评结果。</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电子政务网络改造和办公自动化系统建设项目</w:t>
      </w:r>
      <w:r>
        <w:rPr>
          <w:rFonts w:hint="eastAsia" w:ascii="仿宋_GB2312" w:hAnsi="宋体" w:eastAsia="仿宋_GB2312"/>
          <w:sz w:val="32"/>
          <w:szCs w:val="32"/>
          <w:lang w:eastAsia="zh-CN"/>
        </w:rPr>
        <w:t>自评综述：根据年初设定的绩效目标，该项目绩效评价结果为优。</w:t>
      </w:r>
      <w:r>
        <w:rPr>
          <w:rFonts w:hint="eastAsia" w:ascii="仿宋" w:hAnsi="仿宋" w:eastAsia="仿宋"/>
          <w:sz w:val="32"/>
          <w:szCs w:val="32"/>
        </w:rPr>
        <w:t>项目资金总预算150万元，主要支出包括网络设备、办公设备采购，电子政务网络线路租赁、OA软件定制开发及专家论证，资金支出137.73万元，</w:t>
      </w:r>
      <w:r>
        <w:rPr>
          <w:rFonts w:hint="eastAsia" w:ascii="仿宋" w:hAnsi="仿宋" w:eastAsia="仿宋"/>
          <w:sz w:val="32"/>
          <w:szCs w:val="32"/>
          <w:lang w:eastAsia="zh-CN"/>
        </w:rPr>
        <w:t>完成</w:t>
      </w:r>
      <w:r>
        <w:rPr>
          <w:rFonts w:hint="eastAsia" w:ascii="仿宋" w:hAnsi="仿宋" w:eastAsia="仿宋"/>
          <w:sz w:val="32"/>
          <w:szCs w:val="32"/>
        </w:rPr>
        <w:t>预算</w:t>
      </w:r>
      <w:r>
        <w:rPr>
          <w:rFonts w:hint="eastAsia" w:ascii="仿宋" w:hAnsi="仿宋" w:eastAsia="仿宋"/>
          <w:sz w:val="32"/>
          <w:szCs w:val="32"/>
          <w:lang w:eastAsia="zh-CN"/>
        </w:rPr>
        <w:t>的</w:t>
      </w:r>
      <w:r>
        <w:rPr>
          <w:rFonts w:hint="eastAsia" w:ascii="仿宋" w:hAnsi="仿宋" w:eastAsia="仿宋"/>
          <w:sz w:val="32"/>
          <w:szCs w:val="32"/>
          <w:lang w:val="en-US" w:eastAsia="zh-CN"/>
        </w:rPr>
        <w:t>91.82%</w:t>
      </w:r>
      <w:r>
        <w:rPr>
          <w:rFonts w:hint="eastAsia" w:ascii="仿宋" w:hAnsi="仿宋" w:eastAsia="仿宋"/>
          <w:sz w:val="32"/>
          <w:szCs w:val="32"/>
        </w:rPr>
        <w:t>。本着从严从简的原则，该项目按各项工作进度有序支出，完成了年度工作计划。该项目充分发挥了信息化建设的作用，围绕工作实际，服务全局各处室、各单位，完成了电子政务内网、电子政务外网、电子政务无线外网等三套网络的升级改造，为节约办公成本，提升我局网络环境，提高整体工作效率做出了应有的贡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对于项目的后续管理和维护还有</w:t>
      </w:r>
      <w:r>
        <w:rPr>
          <w:rFonts w:eastAsia="仿宋_GB2312" w:cstheme="minorHAnsi"/>
          <w:sz w:val="32"/>
          <w:szCs w:val="32"/>
        </w:rPr>
        <w:t>提升</w:t>
      </w:r>
      <w:r>
        <w:rPr>
          <w:rFonts w:hint="eastAsia" w:ascii="仿宋_GB2312" w:hAnsi="宋体" w:eastAsia="仿宋_GB2312"/>
          <w:sz w:val="32"/>
          <w:szCs w:val="32"/>
        </w:rPr>
        <w:t>和改进的空间</w:t>
      </w:r>
      <w:r>
        <w:rPr>
          <w:rFonts w:eastAsia="仿宋_GB2312" w:cstheme="minorHAnsi"/>
          <w:sz w:val="32"/>
          <w:szCs w:val="32"/>
        </w:rPr>
        <w:t>：一是完善管理机制。硬件方面，完善硬件管理和维护机制，让硬件管理更加标准规范；软件方面，捋清局机关及局属单位收发文流程、督查流程和信访流程；二是提高软件使用的覆盖率，当前我局的办公自动化系统仅覆盖至局机关处室和局属单位办公室，且每个处室和局属单位仅分配一个账号，未来随着软件的逐步升级和成熟，该项目应该延展至各局属单位下属科室或部门，尽可能最大化地利用</w:t>
      </w:r>
      <w:r>
        <w:rPr>
          <w:rFonts w:ascii="仿宋" w:hAnsi="仿宋" w:eastAsia="仿宋" w:cstheme="minorHAnsi"/>
          <w:sz w:val="32"/>
          <w:szCs w:val="32"/>
        </w:rPr>
        <w:t>OA</w:t>
      </w:r>
      <w:r>
        <w:rPr>
          <w:rFonts w:eastAsia="仿宋_GB2312" w:cstheme="minorHAnsi"/>
          <w:sz w:val="32"/>
          <w:szCs w:val="32"/>
        </w:rPr>
        <w:t>软件，从而达到提升我局整体工作效率和节约办公成本的目标。</w:t>
      </w:r>
    </w:p>
    <w:p>
      <w:pPr>
        <w:numPr>
          <w:ilvl w:val="0"/>
          <w:numId w:val="0"/>
        </w:numPr>
        <w:adjustRightInd w:val="0"/>
        <w:snapToGrid w:val="0"/>
        <w:spacing w:line="580" w:lineRule="exact"/>
        <w:ind w:firstLine="640" w:firstLineChars="200"/>
        <w:rPr>
          <w:rFonts w:hint="eastAsia" w:ascii="仿宋" w:hAnsi="仿宋" w:eastAsia="仿宋" w:cs="仿宋"/>
          <w:sz w:val="32"/>
          <w:szCs w:val="32"/>
        </w:rPr>
      </w:pPr>
      <w:r>
        <w:rPr>
          <w:rFonts w:hint="eastAsia" w:eastAsia="仿宋_GB2312" w:cstheme="minorHAnsi"/>
          <w:sz w:val="32"/>
          <w:szCs w:val="32"/>
          <w:lang w:eastAsia="zh-CN"/>
        </w:rPr>
        <w:t>（</w:t>
      </w:r>
      <w:r>
        <w:rPr>
          <w:rFonts w:hint="eastAsia" w:ascii="仿宋" w:hAnsi="仿宋" w:eastAsia="仿宋" w:cs="仿宋"/>
          <w:sz w:val="32"/>
          <w:szCs w:val="32"/>
          <w:lang w:val="en-US" w:eastAsia="zh-CN"/>
        </w:rPr>
        <w:t>2</w:t>
      </w:r>
      <w:r>
        <w:rPr>
          <w:rFonts w:hint="eastAsia" w:eastAsia="仿宋_GB2312" w:cstheme="minorHAnsi"/>
          <w:sz w:val="32"/>
          <w:szCs w:val="32"/>
          <w:lang w:val="en-US" w:eastAsia="zh-CN"/>
        </w:rPr>
        <w:t>）</w:t>
      </w:r>
      <w:r>
        <w:rPr>
          <w:rFonts w:eastAsia="仿宋_GB2312" w:cstheme="minorHAnsi"/>
          <w:sz w:val="32"/>
          <w:szCs w:val="32"/>
        </w:rPr>
        <w:t>唐山市住房和城乡建设信息管理服务平台</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自评综述：根据年初设定的绩效目标，该项目绩效评价结果为优。</w:t>
      </w:r>
      <w:r>
        <w:rPr>
          <w:rFonts w:hint="eastAsia" w:eastAsia="仿宋_GB2312" w:cstheme="minorHAnsi"/>
          <w:sz w:val="32"/>
          <w:szCs w:val="32"/>
        </w:rPr>
        <w:t>本项目资金总预算为</w:t>
      </w:r>
      <w:r>
        <w:rPr>
          <w:rFonts w:hint="eastAsia" w:ascii="仿宋" w:hAnsi="仿宋" w:eastAsia="仿宋" w:cs="仿宋"/>
          <w:sz w:val="32"/>
          <w:szCs w:val="32"/>
        </w:rPr>
        <w:t>62</w:t>
      </w:r>
      <w:r>
        <w:rPr>
          <w:rFonts w:hint="eastAsia" w:ascii="仿宋_GB2312" w:hAnsi="宋体" w:eastAsia="仿宋_GB2312"/>
          <w:sz w:val="32"/>
          <w:szCs w:val="32"/>
        </w:rPr>
        <w:t>5万元，分为两年期完成，第一年度资金预算300万元，第二年度资金预算325万元。其中，软件部分预算为510万元，硬件部分预算为115万元。根据政府采购公开招标结果，</w:t>
      </w:r>
      <w:r>
        <w:rPr>
          <w:rFonts w:hint="eastAsia" w:eastAsia="仿宋_GB2312" w:cstheme="minorHAnsi"/>
          <w:sz w:val="32"/>
          <w:szCs w:val="32"/>
        </w:rPr>
        <w:t>软件部分合同金额为</w:t>
      </w:r>
      <w:r>
        <w:rPr>
          <w:rFonts w:hint="eastAsia" w:ascii="仿宋" w:hAnsi="仿宋" w:eastAsia="仿宋" w:cs="仿宋"/>
          <w:sz w:val="32"/>
          <w:szCs w:val="32"/>
        </w:rPr>
        <w:t>450</w:t>
      </w:r>
      <w:r>
        <w:rPr>
          <w:rFonts w:hint="eastAsia" w:eastAsia="仿宋_GB2312" w:cstheme="minorHAnsi"/>
          <w:sz w:val="32"/>
          <w:szCs w:val="32"/>
        </w:rPr>
        <w:t>万元，硬件部分合同金额为</w:t>
      </w:r>
      <w:r>
        <w:rPr>
          <w:rFonts w:hint="eastAsia" w:ascii="仿宋" w:hAnsi="仿宋" w:eastAsia="仿宋" w:cs="仿宋"/>
          <w:sz w:val="32"/>
          <w:szCs w:val="32"/>
        </w:rPr>
        <w:t>99.5万元。截至2019年底，资金支出95.03</w:t>
      </w:r>
      <w:r>
        <w:rPr>
          <w:rFonts w:hint="eastAsia" w:eastAsia="仿宋_GB2312" w:cstheme="minorHAnsi"/>
          <w:sz w:val="32"/>
          <w:szCs w:val="32"/>
        </w:rPr>
        <w:t>万元</w:t>
      </w:r>
      <w:r>
        <w:rPr>
          <w:rFonts w:hint="eastAsia" w:eastAsia="仿宋_GB2312" w:cstheme="minorHAnsi"/>
          <w:sz w:val="32"/>
          <w:szCs w:val="32"/>
          <w:lang w:eastAsia="zh-CN"/>
        </w:rPr>
        <w:t>，完成预算的</w:t>
      </w:r>
      <w:r>
        <w:rPr>
          <w:rFonts w:hint="eastAsia" w:ascii="仿宋_GB2312" w:hAnsi="宋体" w:eastAsia="仿宋_GB2312"/>
          <w:sz w:val="32"/>
          <w:szCs w:val="32"/>
          <w:lang w:val="en-US" w:eastAsia="zh-CN"/>
        </w:rPr>
        <w:t>31.68%。</w:t>
      </w:r>
      <w:r>
        <w:rPr>
          <w:rFonts w:hint="eastAsia" w:ascii="仿宋" w:hAnsi="仿宋" w:eastAsia="仿宋" w:cs="仿宋"/>
          <w:sz w:val="32"/>
          <w:szCs w:val="32"/>
        </w:rPr>
        <w:t>硬件部分已完成安装、部署、调试、验收工作，为软件开发、调试、试运行提供了坚实的基础设施。</w:t>
      </w:r>
    </w:p>
    <w:p>
      <w:pPr>
        <w:numPr>
          <w:ilvl w:val="0"/>
          <w:numId w:val="0"/>
        </w:num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2019年度集中供热补贴</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自评综述：根据年初设定的绩效目标，该项目绩效评价结果为优。</w:t>
      </w:r>
      <w:r>
        <w:rPr>
          <w:rFonts w:hint="eastAsia" w:ascii="仿宋" w:hAnsi="仿宋" w:eastAsia="仿宋" w:cs="仿宋"/>
          <w:sz w:val="32"/>
          <w:szCs w:val="32"/>
        </w:rPr>
        <w:t>2019年市级财政预算安排2018-2019年采暖季集中供热补贴4525万元，实际支出4525万元</w:t>
      </w:r>
      <w:r>
        <w:rPr>
          <w:rFonts w:hint="eastAsia" w:ascii="仿宋" w:hAnsi="仿宋" w:eastAsia="仿宋" w:cs="仿宋"/>
          <w:sz w:val="32"/>
          <w:szCs w:val="32"/>
          <w:lang w:eastAsia="zh-CN"/>
        </w:rPr>
        <w:t>，完成预算的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市级财政安排的采暖季集中供热补贴，有力缓解了热力公司生产运营资金不足现状，减轻了公司资金压力，更好的维持了城市供热的正常运营，达到了供热效果得到百姓的肯定，圆满完成全市居民供热任务的目的。在供热补贴专项资金的使用方面做到了严格把关，严格按项目内容实施，较好完成了该专项资金的绩效管理，取得了较好的社会效益。</w:t>
      </w:r>
    </w:p>
    <w:p>
      <w:pPr>
        <w:numPr>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eastAsia="仿宋_GB2312" w:cstheme="minorHAnsi"/>
          <w:sz w:val="32"/>
          <w:szCs w:val="32"/>
          <w:lang w:eastAsia="zh-CN"/>
        </w:rPr>
        <w:t>（</w:t>
      </w:r>
      <w:r>
        <w:rPr>
          <w:rFonts w:hint="eastAsia" w:ascii="仿宋" w:hAnsi="仿宋" w:eastAsia="仿宋" w:cs="仿宋"/>
          <w:sz w:val="32"/>
          <w:szCs w:val="32"/>
          <w:lang w:val="en-US" w:eastAsia="zh-CN"/>
        </w:rPr>
        <w:t>4</w:t>
      </w:r>
      <w:r>
        <w:rPr>
          <w:rFonts w:hint="eastAsia" w:eastAsia="仿宋_GB2312" w:cstheme="minorHAnsi"/>
          <w:sz w:val="32"/>
          <w:szCs w:val="32"/>
          <w:lang w:val="en-US" w:eastAsia="zh-CN"/>
        </w:rPr>
        <w:t>）</w:t>
      </w:r>
      <w:r>
        <w:rPr>
          <w:rFonts w:hint="eastAsia" w:eastAsia="仿宋_GB2312" w:cstheme="minorHAnsi"/>
          <w:sz w:val="32"/>
          <w:szCs w:val="32"/>
        </w:rPr>
        <w:t>唐山市供热监管指挥信息平台</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自评综述：根据年初设定的绩效目标，该项目绩效评价结果为优。</w:t>
      </w:r>
      <w:r>
        <w:rPr>
          <w:rFonts w:hint="eastAsia" w:ascii="仿宋_GB2312" w:hAnsi="仿宋_GB2312" w:eastAsia="仿宋_GB2312" w:cs="仿宋_GB2312"/>
          <w:sz w:val="32"/>
          <w:szCs w:val="32"/>
        </w:rPr>
        <w:t>该项目</w:t>
      </w:r>
      <w:r>
        <w:rPr>
          <w:rFonts w:hint="eastAsia" w:ascii="仿宋" w:hAnsi="仿宋" w:eastAsia="仿宋"/>
          <w:sz w:val="32"/>
          <w:szCs w:val="32"/>
        </w:rPr>
        <w:t>是综合运用物联网、计算机、移动互联、大数据等新技术和理念，以省供热监管信息平台为核心的市、区县（市）和企业三级联动的供热监管信息服务网络。</w:t>
      </w:r>
      <w:r>
        <w:rPr>
          <w:rFonts w:hint="eastAsia" w:ascii="仿宋" w:hAnsi="仿宋" w:eastAsia="仿宋" w:cs="仿宋_GB2312"/>
          <w:sz w:val="32"/>
          <w:szCs w:val="32"/>
        </w:rPr>
        <w:t>充分开发利用供热行业信息资源，通过跨层级、跨部门信息共享、协同工作，实现对全市供热</w:t>
      </w:r>
      <w:r>
        <w:rPr>
          <w:rFonts w:hint="eastAsia" w:ascii="仿宋" w:hAnsi="仿宋" w:eastAsia="仿宋"/>
          <w:sz w:val="32"/>
          <w:szCs w:val="32"/>
        </w:rPr>
        <w:t>运行数</w:t>
      </w:r>
      <w:r>
        <w:rPr>
          <w:rFonts w:hint="eastAsia" w:ascii="仿宋" w:hAnsi="仿宋" w:eastAsia="仿宋" w:cs="宋体"/>
          <w:sz w:val="32"/>
          <w:szCs w:val="32"/>
        </w:rPr>
        <w:t>据</w:t>
      </w:r>
      <w:r>
        <w:rPr>
          <w:rFonts w:hint="eastAsia" w:ascii="仿宋" w:hAnsi="仿宋" w:eastAsia="仿宋" w:cs="仿宋_GB2312"/>
          <w:sz w:val="32"/>
          <w:szCs w:val="32"/>
        </w:rPr>
        <w:t>动态采集、科学监测，提升供热企业的智能化水平</w:t>
      </w:r>
      <w:r>
        <w:rPr>
          <w:rFonts w:hint="eastAsia" w:ascii="仿宋" w:hAnsi="仿宋" w:eastAsia="仿宋"/>
          <w:sz w:val="32"/>
          <w:szCs w:val="32"/>
        </w:rPr>
        <w:t>和</w:t>
      </w:r>
      <w:r>
        <w:rPr>
          <w:rFonts w:hint="eastAsia" w:ascii="仿宋" w:hAnsi="仿宋" w:eastAsia="仿宋" w:cs="宋体"/>
          <w:sz w:val="32"/>
          <w:szCs w:val="32"/>
        </w:rPr>
        <w:t>服</w:t>
      </w:r>
      <w:r>
        <w:rPr>
          <w:rFonts w:hint="eastAsia" w:ascii="仿宋" w:hAnsi="仿宋" w:eastAsia="仿宋" w:cs="仿宋_GB2312"/>
          <w:sz w:val="32"/>
          <w:szCs w:val="32"/>
        </w:rPr>
        <w:t>务质量，提升城市供热的智慧化应用和供热保障</w:t>
      </w:r>
      <w:r>
        <w:rPr>
          <w:rFonts w:hint="eastAsia" w:ascii="仿宋" w:hAnsi="仿宋" w:eastAsia="仿宋"/>
          <w:sz w:val="32"/>
          <w:szCs w:val="32"/>
        </w:rPr>
        <w:t>能力，提高我市供热主管部门的监管水平。</w:t>
      </w:r>
      <w:r>
        <w:rPr>
          <w:rFonts w:hint="eastAsia" w:ascii="仿宋" w:hAnsi="仿宋" w:eastAsia="仿宋" w:cs="仿宋"/>
          <w:bCs/>
          <w:sz w:val="32"/>
          <w:szCs w:val="32"/>
        </w:rPr>
        <w:t>供热监管指挥信息平台为2019年度追加预算，建设内容包括平台软件部分、硬件部分及室温监测装置，预算金额573.5万元。按照省住建厅印发的</w:t>
      </w:r>
      <w:r>
        <w:rPr>
          <w:rFonts w:hint="eastAsia" w:ascii="仿宋_GB2312" w:hAnsi="仿宋_GB2312" w:eastAsia="仿宋_GB2312" w:cs="仿宋_GB2312"/>
          <w:sz w:val="32"/>
          <w:szCs w:val="32"/>
        </w:rPr>
        <w:t>《关于加快推进全省城市供热信息化建设的实施意见》（冀建城建﹝2019﹞10号）及唐山市供热监管指挥信息平台建设方案确定年度目标，软件部分设计完成，硬件部分搭建完成，室温监测点采购安装完成。项目资金2019年支出92.87万元，</w:t>
      </w:r>
      <w:r>
        <w:rPr>
          <w:rFonts w:hint="eastAsia" w:ascii="仿宋_GB2312" w:hAnsi="仿宋_GB2312" w:eastAsia="仿宋_GB2312" w:cs="仿宋_GB2312"/>
          <w:sz w:val="32"/>
          <w:szCs w:val="32"/>
          <w:lang w:eastAsia="zh-CN"/>
        </w:rPr>
        <w:t>完成预算的</w:t>
      </w:r>
      <w:r>
        <w:rPr>
          <w:rFonts w:hint="eastAsia" w:ascii="仿宋_GB2312" w:hAnsi="仿宋_GB2312" w:eastAsia="仿宋_GB2312" w:cs="仿宋_GB2312"/>
          <w:sz w:val="32"/>
          <w:szCs w:val="32"/>
          <w:lang w:val="en-US" w:eastAsia="zh-CN"/>
        </w:rPr>
        <w:t>16.19%。</w:t>
      </w:r>
      <w:r>
        <w:rPr>
          <w:rFonts w:hint="eastAsia" w:ascii="仿宋" w:hAnsi="仿宋" w:eastAsia="仿宋" w:cs="仿宋"/>
          <w:sz w:val="32"/>
          <w:szCs w:val="32"/>
        </w:rPr>
        <w:t>该项目在合法合规条件下实施，因不可抗因素造成项目进展缓慢，目前正在稳步推进中</w:t>
      </w:r>
      <w:r>
        <w:rPr>
          <w:rFonts w:hint="eastAsia" w:ascii="仿宋_GB2312" w:hAnsi="仿宋_GB2312" w:eastAsia="仿宋_GB2312" w:cs="仿宋_GB2312"/>
          <w:sz w:val="32"/>
          <w:szCs w:val="32"/>
        </w:rPr>
        <w:t>。</w:t>
      </w:r>
      <w:r>
        <w:rPr>
          <w:rFonts w:hint="eastAsia" w:ascii="仿宋" w:hAnsi="仿宋" w:eastAsia="仿宋" w:cs="仿宋"/>
          <w:color w:val="000000"/>
          <w:sz w:val="32"/>
          <w:szCs w:val="32"/>
        </w:rPr>
        <w:t>下一步，我们将督导供热企业及中标单位加快推进项目建设，按时保质完成。</w:t>
      </w:r>
    </w:p>
    <w:p>
      <w:pPr>
        <w:numPr>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2019年农村危房改造</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自评综述：根据年初设定的绩效目标，该项目绩效评价结果为优。</w:t>
      </w:r>
      <w:r>
        <w:rPr>
          <w:rFonts w:hint="eastAsia" w:ascii="仿宋_GB2312" w:hAnsi="仿宋_GB2312" w:eastAsia="仿宋_GB2312" w:cs="仿宋_GB2312"/>
          <w:sz w:val="32"/>
          <w:szCs w:val="32"/>
        </w:rPr>
        <w:t>我局按照省、市工作部署，坚持以为农村贫困户解决安全住房为出发点，全力推进全市农村危房改造工作。2019年</w:t>
      </w:r>
      <w:r>
        <w:rPr>
          <w:rFonts w:hint="eastAsia" w:ascii="仿宋_GB2312" w:hAnsi="仿宋_GB2312" w:eastAsia="仿宋_GB2312" w:cs="仿宋_GB2312"/>
          <w:sz w:val="32"/>
          <w:szCs w:val="32"/>
          <w:lang w:val="zh-CN"/>
        </w:rPr>
        <w:t>对全市</w:t>
      </w:r>
      <w:r>
        <w:rPr>
          <w:rFonts w:hint="eastAsia" w:ascii="仿宋_GB2312" w:hAnsi="仿宋_GB2312" w:eastAsia="仿宋_GB2312" w:cs="仿宋_GB2312"/>
          <w:sz w:val="32"/>
          <w:szCs w:val="32"/>
        </w:rPr>
        <w:t>2019-2020年度</w:t>
      </w:r>
      <w:r>
        <w:rPr>
          <w:rFonts w:hint="eastAsia" w:ascii="仿宋_GB2312" w:hAnsi="仿宋_GB2312" w:eastAsia="仿宋_GB2312" w:cs="仿宋_GB2312"/>
          <w:sz w:val="32"/>
          <w:szCs w:val="32"/>
          <w:lang w:val="zh-CN"/>
        </w:rPr>
        <w:t>4类重点对象危房存量全部予以安排，帮助解决最基本安全住房，申请市财政直管区年度农村危房改造专项预算</w:t>
      </w:r>
      <w:r>
        <w:rPr>
          <w:rFonts w:hint="eastAsia" w:ascii="仿宋_GB2312" w:hAnsi="仿宋_GB2312" w:eastAsia="仿宋_GB2312" w:cs="仿宋_GB2312"/>
          <w:sz w:val="32"/>
          <w:szCs w:val="32"/>
        </w:rPr>
        <w:t>50万元，共计预期完成完成1000户改造任务（危房存量动态管理,按照每户500元标准配套）。2019年，省达我市2019-2020年度4类重点对象改造任务1200户，要求2019年11月底全部开工，2020年6月底竣工，我市于2019年9月底全部竣工。其中完成市财政直管区4类重点对象危房改造任务331户，拨付实际危房改造补助资金16.55万元，</w:t>
      </w:r>
      <w:r>
        <w:rPr>
          <w:rFonts w:hint="eastAsia" w:ascii="仿宋_GB2312" w:hAnsi="仿宋_GB2312" w:eastAsia="仿宋_GB2312" w:cs="仿宋_GB2312"/>
          <w:sz w:val="32"/>
          <w:szCs w:val="32"/>
          <w:lang w:eastAsia="zh-CN"/>
        </w:rPr>
        <w:t>为预算的</w:t>
      </w:r>
      <w:r>
        <w:rPr>
          <w:rFonts w:hint="eastAsia" w:ascii="仿宋_GB2312" w:hAnsi="仿宋_GB2312" w:eastAsia="仿宋_GB2312" w:cs="仿宋_GB2312"/>
          <w:sz w:val="32"/>
          <w:szCs w:val="32"/>
          <w:lang w:val="en-US" w:eastAsia="zh-CN"/>
        </w:rPr>
        <w:t>33.1%。项目资金</w:t>
      </w:r>
      <w:r>
        <w:rPr>
          <w:rFonts w:hint="eastAsia" w:ascii="仿宋_GB2312" w:hAnsi="仿宋_GB2312" w:eastAsia="仿宋_GB2312" w:cs="仿宋_GB2312"/>
          <w:sz w:val="32"/>
          <w:szCs w:val="32"/>
        </w:rPr>
        <w:t>有力</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保障了农村贫困人口基本住房安全。下一步，我局将指导县（市）区加强农村住房安全情况监测，动态管理住房安全台账，强化举措，确保按我市脱贫退出节点要求，保障所有农户住房安全。</w:t>
      </w:r>
    </w:p>
    <w:p>
      <w:pPr>
        <w:numPr>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2019年度市直管旧小区物业补助</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自评综述：根据年初设定的绩效目标，该项目绩效评价结果为优。</w:t>
      </w:r>
      <w:r>
        <w:rPr>
          <w:rFonts w:hint="eastAsia" w:ascii="仿宋_GB2312" w:eastAsia="仿宋_GB2312"/>
          <w:sz w:val="32"/>
          <w:szCs w:val="32"/>
        </w:rPr>
        <w:t>为保障市管小区</w:t>
      </w:r>
      <w:r>
        <w:rPr>
          <w:rFonts w:hint="eastAsia" w:ascii="仿宋_GB2312" w:eastAsia="仿宋_GB2312"/>
          <w:color w:val="000000"/>
          <w:sz w:val="32"/>
          <w:szCs w:val="32"/>
        </w:rPr>
        <w:t>的道路硬化、绿化、环境卫生等日常维护工作</w:t>
      </w:r>
      <w:r>
        <w:rPr>
          <w:rFonts w:hint="eastAsia" w:ascii="仿宋_GB2312" w:eastAsia="仿宋_GB2312"/>
          <w:sz w:val="32"/>
          <w:szCs w:val="32"/>
        </w:rPr>
        <w:t>质量符合国家相关规定，确保不发生质量安全事件，每年开展市管小区检查不少于6次，检察人员由局房屋与物业管理处、党办、人教处以及各房管所、物业公司组成考核组，对20个市管小区共用部位养护、共用设施设备、安保消防秩序、环境卫生、绿化五大项的管理情况逐个进行了考核评比打分。</w:t>
      </w:r>
      <w:r>
        <w:rPr>
          <w:rFonts w:hint="eastAsia" w:ascii="仿宋_GB2312" w:hAnsi="宋体" w:eastAsia="仿宋_GB2312" w:cs="Courier New"/>
          <w:kern w:val="0"/>
          <w:sz w:val="32"/>
          <w:szCs w:val="32"/>
        </w:rPr>
        <w:t>2019年市级财政预算安排293.50万元</w:t>
      </w:r>
      <w:r>
        <w:rPr>
          <w:rStyle w:val="14"/>
          <w:rFonts w:hint="eastAsia" w:ascii="仿宋_GB2312" w:eastAsia="仿宋_GB2312"/>
          <w:sz w:val="32"/>
        </w:rPr>
        <w:t>，工程预期2019年12月30日完工。</w:t>
      </w:r>
      <w:r>
        <w:rPr>
          <w:rFonts w:hint="eastAsia" w:ascii="仿宋_GB2312" w:eastAsia="仿宋_GB2312"/>
          <w:sz w:val="32"/>
          <w:szCs w:val="32"/>
        </w:rPr>
        <w:t>项目工程进度完成计划100%，验收合格率90%。实际支出293.5万元</w:t>
      </w:r>
      <w:r>
        <w:rPr>
          <w:rFonts w:hint="eastAsia" w:ascii="仿宋_GB2312" w:eastAsia="仿宋_GB2312"/>
          <w:sz w:val="32"/>
          <w:szCs w:val="32"/>
          <w:lang w:eastAsia="zh-CN"/>
        </w:rPr>
        <w:t>，完成预算的</w:t>
      </w:r>
      <w:r>
        <w:rPr>
          <w:rFonts w:hint="eastAsia" w:ascii="仿宋_GB2312" w:eastAsia="仿宋_GB2312"/>
          <w:sz w:val="32"/>
          <w:szCs w:val="32"/>
          <w:lang w:val="en-US" w:eastAsia="zh-CN"/>
        </w:rPr>
        <w:t>100%</w:t>
      </w:r>
      <w:r>
        <w:rPr>
          <w:rFonts w:hint="eastAsia" w:ascii="仿宋_GB2312" w:eastAsia="仿宋_GB2312"/>
          <w:sz w:val="32"/>
          <w:szCs w:val="32"/>
        </w:rPr>
        <w:t>。</w:t>
      </w:r>
    </w:p>
    <w:p>
      <w:pPr>
        <w:numPr>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2019年保障性住房建设维护管理</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自评综述：根据年初设定的绩效目标，该项目绩效评价结果为良。</w:t>
      </w:r>
      <w:r>
        <w:rPr>
          <w:rFonts w:hint="eastAsia" w:ascii="仿宋_GB2312" w:hAnsi="仿宋_GB2312" w:eastAsia="仿宋_GB2312" w:cs="仿宋_GB2312"/>
          <w:sz w:val="32"/>
          <w:szCs w:val="32"/>
        </w:rPr>
        <w:t>我局直管保障性住房小区共有底商及非住宅281套，建筑面积约11万平米，年租金收入约2244万元。我局国有资产出租出借计划（</w:t>
      </w:r>
      <w:r>
        <w:rPr>
          <w:rFonts w:hint="eastAsia" w:ascii="仿宋_GB2312" w:eastAsia="仿宋_GB2312"/>
          <w:sz w:val="32"/>
          <w:szCs w:val="32"/>
        </w:rPr>
        <w:t>去除空置约为）</w:t>
      </w:r>
      <w:r>
        <w:rPr>
          <w:rFonts w:hint="eastAsia" w:ascii="仿宋_GB2312" w:hAnsi="仿宋_GB2312" w:eastAsia="仿宋_GB2312" w:cs="仿宋_GB2312"/>
          <w:sz w:val="32"/>
          <w:szCs w:val="32"/>
        </w:rPr>
        <w:t>总收入2000万元。以上收入将全部用于保障性住房小区的各项维修、维护及日常管理工作。</w:t>
      </w:r>
      <w:r>
        <w:rPr>
          <w:rFonts w:hint="eastAsia" w:ascii="仿宋_GB2312" w:hAnsi="宋体" w:eastAsia="仿宋_GB2312" w:cs="Courier New"/>
          <w:kern w:val="0"/>
          <w:sz w:val="32"/>
          <w:szCs w:val="32"/>
        </w:rPr>
        <w:t>2019年市级财政预算安排2000.00万元</w:t>
      </w:r>
      <w:r>
        <w:rPr>
          <w:rStyle w:val="14"/>
          <w:rFonts w:hint="eastAsia" w:ascii="仿宋_GB2312" w:eastAsia="仿宋_GB2312"/>
          <w:sz w:val="32"/>
        </w:rPr>
        <w:t>，</w:t>
      </w:r>
      <w:r>
        <w:rPr>
          <w:rFonts w:hint="eastAsia" w:ascii="仿宋_GB2312" w:hAnsi="仿宋_GB2312" w:eastAsia="仿宋_GB2312" w:cs="仿宋_GB2312"/>
          <w:sz w:val="32"/>
          <w:szCs w:val="32"/>
        </w:rPr>
        <w:t>全年完成财政资金1608.404万元，预算执行率80</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w:t>
      </w:r>
      <w:r>
        <w:rPr>
          <w:rFonts w:hint="eastAsia" w:ascii="仿宋_GB2312" w:hAnsi="仿宋_GB2312" w:eastAsia="仿宋_GB2312"/>
          <w:sz w:val="32"/>
        </w:rPr>
        <w:t>每月进行拨付。项目</w:t>
      </w:r>
      <w:r>
        <w:rPr>
          <w:rFonts w:hint="eastAsia" w:ascii="仿宋_GB2312" w:eastAsia="仿宋_GB2312"/>
          <w:color w:val="000000"/>
          <w:sz w:val="32"/>
          <w:szCs w:val="32"/>
        </w:rPr>
        <w:t>该项目资金全部于保障性住房小区的新建、维修、维护、管理等支出，小区管理水平与环境的提升解决了人民群众最关心、最直接、最现实的利益问题，小区环境的综合维护是改善人居环境、提高生活质量的民生工程，是切实帮助部分城市低收入家庭改善居住条件的重要举措，是一项符合科学发展观、与人民群众利益息息相关、合民意、得民心的德政工程。实行政府补贴的市场化运作，为保障性住房小区的维修、维护、管理等工作提供了有利的经济保障。</w:t>
      </w:r>
    </w:p>
    <w:p>
      <w:pPr>
        <w:numPr>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2019年度沁园里小区更换设施设备维修工程</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自评综述：根据年初设定的绩效目标，该项目绩效评价结果为优。</w:t>
      </w:r>
      <w:r>
        <w:rPr>
          <w:rStyle w:val="14"/>
          <w:rFonts w:hint="eastAsia" w:ascii="仿宋_GB2312" w:eastAsia="仿宋_GB2312"/>
          <w:sz w:val="32"/>
          <w:szCs w:val="32"/>
        </w:rPr>
        <w:t>本次施工内容包括：锅炉房内设备改造、直埋管热水管网改造、污水管网改造、混凝土路面修复。</w:t>
      </w:r>
      <w:r>
        <w:rPr>
          <w:rFonts w:hint="eastAsia" w:ascii="仿宋_GB2312" w:eastAsia="仿宋_GB2312"/>
          <w:sz w:val="32"/>
          <w:szCs w:val="32"/>
        </w:rPr>
        <w:t>该项目预算136万元，经公开招标中标价120.55万元，</w:t>
      </w:r>
      <w:r>
        <w:rPr>
          <w:rFonts w:hint="eastAsia" w:ascii="仿宋_GB2312" w:eastAsia="仿宋_GB2312"/>
          <w:sz w:val="32"/>
          <w:szCs w:val="32"/>
          <w:lang w:eastAsia="zh-CN"/>
        </w:rPr>
        <w:t>执行数为</w:t>
      </w:r>
      <w:r>
        <w:rPr>
          <w:rFonts w:hint="eastAsia" w:ascii="仿宋_GB2312" w:eastAsia="仿宋_GB2312"/>
          <w:sz w:val="32"/>
          <w:szCs w:val="32"/>
        </w:rPr>
        <w:t>100.9</w:t>
      </w:r>
      <w:r>
        <w:rPr>
          <w:rFonts w:hint="eastAsia" w:ascii="仿宋_GB2312" w:eastAsia="仿宋_GB2312"/>
          <w:sz w:val="32"/>
          <w:szCs w:val="32"/>
          <w:lang w:val="en-US" w:eastAsia="zh-CN"/>
        </w:rPr>
        <w:t>5</w:t>
      </w:r>
      <w:r>
        <w:rPr>
          <w:rFonts w:hint="eastAsia" w:ascii="仿宋_GB2312" w:eastAsia="仿宋_GB2312"/>
          <w:sz w:val="32"/>
          <w:szCs w:val="32"/>
        </w:rPr>
        <w:t>万元，按合同约定预留保修金</w:t>
      </w:r>
      <w:r>
        <w:rPr>
          <w:rFonts w:hint="eastAsia" w:ascii="仿宋_GB2312" w:eastAsia="仿宋_GB2312"/>
          <w:sz w:val="32"/>
          <w:szCs w:val="32"/>
          <w:lang w:eastAsia="zh-CN"/>
        </w:rPr>
        <w:t>，完成预算的</w:t>
      </w:r>
      <w:r>
        <w:rPr>
          <w:rFonts w:hint="eastAsia" w:ascii="仿宋_GB2312" w:eastAsia="仿宋_GB2312"/>
          <w:sz w:val="32"/>
          <w:szCs w:val="32"/>
          <w:lang w:val="en-US" w:eastAsia="zh-CN"/>
        </w:rPr>
        <w:t>74.23%</w:t>
      </w:r>
      <w:r>
        <w:rPr>
          <w:rFonts w:hint="eastAsia" w:ascii="仿宋_GB2312" w:hAnsi="宋体" w:eastAsia="仿宋_GB2312" w:cs="仿宋_GB2312"/>
          <w:bCs/>
          <w:sz w:val="32"/>
          <w:szCs w:val="32"/>
        </w:rPr>
        <w:t>。</w:t>
      </w:r>
      <w:r>
        <w:rPr>
          <w:rFonts w:hint="eastAsia" w:ascii="仿宋_GB2312" w:eastAsia="仿宋_GB2312"/>
          <w:sz w:val="32"/>
          <w:szCs w:val="32"/>
        </w:rPr>
        <w:t>锅炉房供水设施设备工程于12月13日完工。锅炉房供水设施设备改造-更换管道及土建工程于12月19日完工。</w:t>
      </w:r>
      <w:r>
        <w:rPr>
          <w:rFonts w:hint="eastAsia" w:ascii="仿宋_GB2312" w:hAnsi="仿宋_GB2312" w:eastAsia="仿宋_GB2312"/>
          <w:sz w:val="32"/>
        </w:rPr>
        <w:t>本项目的实施充分体现了党和政府对居民生活的关心，是党和政府改善民生的政策的具体体现，可以改善党群关系，增进社会和谐；项目的实施，还体现在改善人民的生活水平，增强人民的身体健康；项目的实施，还可以减少自来水跑冒滴漏的现象，减少水资源的浪费，节省能源。由此可见，项目的实施无论哪一方面都是非常有必要的。</w:t>
      </w:r>
    </w:p>
    <w:p>
      <w:pPr>
        <w:numPr>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市直老旧小区既有建筑节能改造</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自评综述：根据年初设定的绩效目标，该项目绩效评价结果为优。</w:t>
      </w:r>
      <w:r>
        <w:rPr>
          <w:rFonts w:hint="eastAsia" w:ascii="仿宋_GB2312" w:hAnsi="仿宋_GB2312" w:eastAsia="仿宋_GB2312" w:cs="仿宋_GB2312"/>
          <w:sz w:val="32"/>
          <w:szCs w:val="32"/>
        </w:rPr>
        <w:t>该项目是</w:t>
      </w:r>
      <w:r>
        <w:rPr>
          <w:rFonts w:hint="eastAsia" w:ascii="仿宋" w:hAnsi="仿宋" w:eastAsia="仿宋"/>
          <w:sz w:val="32"/>
          <w:szCs w:val="32"/>
        </w:rPr>
        <w:t>老旧小区改造项目之一，既有建筑节能改造项目全年预算数9800万元，全年执行数5507.87万元，</w:t>
      </w:r>
      <w:r>
        <w:rPr>
          <w:rFonts w:hint="eastAsia" w:ascii="仿宋" w:hAnsi="仿宋" w:eastAsia="仿宋"/>
          <w:sz w:val="32"/>
          <w:szCs w:val="32"/>
          <w:lang w:eastAsia="zh-CN"/>
        </w:rPr>
        <w:t>完成预算的</w:t>
      </w:r>
      <w:r>
        <w:rPr>
          <w:rFonts w:hint="eastAsia" w:ascii="仿宋" w:hAnsi="仿宋" w:eastAsia="仿宋"/>
          <w:sz w:val="32"/>
          <w:szCs w:val="32"/>
        </w:rPr>
        <w:t>56%。</w:t>
      </w:r>
      <w:r>
        <w:rPr>
          <w:rFonts w:hint="eastAsia" w:ascii="仿宋" w:hAnsi="仿宋" w:eastAsia="仿宋" w:cs="仿宋"/>
          <w:color w:val="000000" w:themeColor="text1"/>
          <w:sz w:val="32"/>
          <w:szCs w:val="32"/>
          <w14:textFill>
            <w14:solidFill>
              <w14:schemeClr w14:val="tx1"/>
            </w14:solidFill>
          </w14:textFill>
        </w:rPr>
        <w:t>2019年，节能改造项目涉及19个小区,</w:t>
      </w:r>
      <w:r>
        <w:rPr>
          <w:rFonts w:hint="eastAsia" w:ascii="仿宋" w:hAnsi="仿宋" w:eastAsia="仿宋"/>
          <w:sz w:val="32"/>
          <w:szCs w:val="32"/>
        </w:rPr>
        <w:t xml:space="preserve"> 项目</w:t>
      </w:r>
      <w:r>
        <w:rPr>
          <w:rFonts w:hint="eastAsia" w:ascii="仿宋" w:hAnsi="仿宋" w:eastAsia="仿宋" w:cs="仿宋"/>
          <w:color w:val="000000" w:themeColor="text1"/>
          <w:sz w:val="32"/>
          <w:szCs w:val="32"/>
          <w14:textFill>
            <w14:solidFill>
              <w14:schemeClr w14:val="tx1"/>
            </w14:solidFill>
          </w14:textFill>
        </w:rPr>
        <w:t>于2019年4月开工，至2019年12月所有项目已全部完工，年终考核全省排名第一。本工程总投资9800万元，没有超出概算指标，所有改造项目均达到各项验收标准。</w:t>
      </w:r>
    </w:p>
    <w:p>
      <w:pPr>
        <w:numPr>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市管小区沿街坡屋面加固</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自评综述：根据年初设定的绩效目标，该项目绩效评价结果为优。</w:t>
      </w:r>
      <w:r>
        <w:rPr>
          <w:rFonts w:hint="eastAsia" w:ascii="仿宋_GB2312" w:hAnsi="仿宋_GB2312" w:eastAsia="仿宋_GB2312" w:cs="仿宋_GB2312"/>
          <w:sz w:val="32"/>
          <w:szCs w:val="32"/>
        </w:rPr>
        <w:t>该项目是</w:t>
      </w:r>
      <w:r>
        <w:rPr>
          <w:rFonts w:hint="eastAsia" w:ascii="仿宋" w:hAnsi="仿宋" w:eastAsia="仿宋"/>
          <w:sz w:val="32"/>
          <w:szCs w:val="32"/>
        </w:rPr>
        <w:t>老旧小区改造项目之一，市管小区沿街坡屋面加固项目全年预算数3687万元，按19年预算资金支出1072.01万元，</w:t>
      </w:r>
      <w:r>
        <w:rPr>
          <w:rFonts w:hint="eastAsia" w:ascii="仿宋" w:hAnsi="仿宋" w:eastAsia="仿宋"/>
          <w:sz w:val="32"/>
          <w:szCs w:val="32"/>
          <w:lang w:eastAsia="zh-CN"/>
        </w:rPr>
        <w:t>完成预算的</w:t>
      </w:r>
      <w:r>
        <w:rPr>
          <w:rFonts w:hint="eastAsia" w:ascii="仿宋" w:hAnsi="仿宋" w:eastAsia="仿宋"/>
          <w:sz w:val="32"/>
          <w:szCs w:val="32"/>
          <w:lang w:val="en-US" w:eastAsia="zh-CN"/>
        </w:rPr>
        <w:t>29%，</w:t>
      </w:r>
      <w:r>
        <w:rPr>
          <w:rFonts w:hint="eastAsia" w:ascii="仿宋" w:hAnsi="仿宋" w:eastAsia="仿宋"/>
          <w:sz w:val="32"/>
          <w:szCs w:val="32"/>
        </w:rPr>
        <w:t>但因本项目使用2018年结转资金拨付，实际共拨付2326.98万元，实际执行率63%。</w:t>
      </w:r>
      <w:r>
        <w:rPr>
          <w:rFonts w:hint="eastAsia" w:ascii="仿宋" w:hAnsi="仿宋" w:eastAsia="仿宋" w:cs="仿宋"/>
          <w:color w:val="000000" w:themeColor="text1"/>
          <w:sz w:val="32"/>
          <w:szCs w:val="32"/>
          <w14:textFill>
            <w14:solidFill>
              <w14:schemeClr w14:val="tx1"/>
            </w14:solidFill>
          </w14:textFill>
        </w:rPr>
        <w:t>2019年，我市改造完成市管小区沿街坡屋面加固项目涉及小区28个，目前所有项目已全部完工，年终考核全省排名第一。本工程总投资3687万元，没有超出概算指标。</w:t>
      </w:r>
    </w:p>
    <w:p>
      <w:pPr>
        <w:numPr>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老旧小区提升改造</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自评综述：根据年初设定的绩效目标，该项目绩效评价结果为优。</w:t>
      </w:r>
      <w:r>
        <w:rPr>
          <w:rFonts w:hint="eastAsia" w:ascii="仿宋_GB2312" w:hAnsi="仿宋_GB2312" w:eastAsia="仿宋_GB2312" w:cs="仿宋_GB2312"/>
          <w:sz w:val="32"/>
          <w:szCs w:val="32"/>
        </w:rPr>
        <w:t>该项目是</w:t>
      </w:r>
      <w:r>
        <w:rPr>
          <w:rFonts w:hint="eastAsia" w:ascii="仿宋" w:hAnsi="仿宋" w:eastAsia="仿宋"/>
          <w:sz w:val="32"/>
          <w:szCs w:val="32"/>
        </w:rPr>
        <w:t>老旧小区改造项目之一，市中心区老旧小区提升改造项目全年预算资金51125.88万元，按19年预算资金支出10015.73万元，</w:t>
      </w:r>
      <w:r>
        <w:rPr>
          <w:rFonts w:hint="eastAsia" w:ascii="仿宋" w:hAnsi="仿宋" w:eastAsia="仿宋"/>
          <w:sz w:val="32"/>
          <w:szCs w:val="32"/>
          <w:lang w:eastAsia="zh-CN"/>
        </w:rPr>
        <w:t>完成预算的</w:t>
      </w:r>
      <w:r>
        <w:rPr>
          <w:rFonts w:hint="eastAsia" w:ascii="仿宋" w:hAnsi="仿宋" w:eastAsia="仿宋"/>
          <w:sz w:val="32"/>
          <w:szCs w:val="32"/>
          <w:lang w:val="en-US" w:eastAsia="zh-CN"/>
        </w:rPr>
        <w:t>20%，</w:t>
      </w:r>
      <w:r>
        <w:rPr>
          <w:rFonts w:hint="eastAsia" w:ascii="仿宋" w:hAnsi="仿宋" w:eastAsia="仿宋"/>
          <w:sz w:val="32"/>
          <w:szCs w:val="32"/>
        </w:rPr>
        <w:t>但因本项目使用2018年结转资金拨付，实际共拨付13497.06万元，实际执行率26.4%。</w:t>
      </w:r>
      <w:r>
        <w:rPr>
          <w:rFonts w:hint="eastAsia" w:ascii="仿宋" w:hAnsi="仿宋" w:eastAsia="仿宋" w:cs="仿宋"/>
          <w:color w:val="000000" w:themeColor="text1"/>
          <w:sz w:val="32"/>
          <w:szCs w:val="32"/>
          <w14:textFill>
            <w14:solidFill>
              <w14:schemeClr w14:val="tx1"/>
            </w14:solidFill>
          </w14:textFill>
        </w:rPr>
        <w:t>2019年，市中心区老旧小区提升改造工程涉及小区46个，建筑面积303.02万平方米；目前所有项目已全部完工，年终考核全省排名第一</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本工程总投资</w:t>
      </w:r>
      <w:r>
        <w:rPr>
          <w:rFonts w:hint="eastAsia" w:ascii="仿宋" w:hAnsi="仿宋" w:eastAsia="仿宋"/>
          <w:sz w:val="32"/>
          <w:szCs w:val="32"/>
        </w:rPr>
        <w:t>51125.88</w:t>
      </w:r>
      <w:r>
        <w:rPr>
          <w:rFonts w:hint="eastAsia" w:ascii="仿宋" w:hAnsi="仿宋" w:eastAsia="仿宋" w:cs="仿宋"/>
          <w:color w:val="000000" w:themeColor="text1"/>
          <w:sz w:val="32"/>
          <w:szCs w:val="32"/>
          <w14:textFill>
            <w14:solidFill>
              <w14:schemeClr w14:val="tx1"/>
            </w14:solidFill>
          </w14:textFill>
        </w:rPr>
        <w:t>万元。其中中央补助资金</w:t>
      </w:r>
      <w:r>
        <w:rPr>
          <w:rFonts w:hint="eastAsia" w:ascii="仿宋" w:hAnsi="仿宋" w:eastAsia="仿宋"/>
          <w:sz w:val="32"/>
          <w:szCs w:val="32"/>
        </w:rPr>
        <w:t>36062</w:t>
      </w:r>
      <w:r>
        <w:rPr>
          <w:rFonts w:hint="eastAsia" w:ascii="仿宋" w:hAnsi="仿宋" w:eastAsia="仿宋" w:cs="仿宋"/>
          <w:color w:val="000000" w:themeColor="text1"/>
          <w:sz w:val="32"/>
          <w:szCs w:val="32"/>
          <w14:textFill>
            <w14:solidFill>
              <w14:schemeClr w14:val="tx1"/>
            </w14:solidFill>
          </w14:textFill>
        </w:rPr>
        <w:t>万元、省级奖励资金1729万元、没有超出概算指标。</w:t>
      </w:r>
    </w:p>
    <w:p>
      <w:pPr>
        <w:numPr>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市中心区市管小区增绿工程</w:t>
      </w:r>
      <w:r>
        <w:rPr>
          <w:rFonts w:hint="eastAsia" w:eastAsia="仿宋_GB2312" w:cstheme="minorHAnsi"/>
          <w:sz w:val="32"/>
          <w:szCs w:val="32"/>
          <w:lang w:eastAsia="zh-CN"/>
        </w:rPr>
        <w:t>项目</w:t>
      </w:r>
      <w:r>
        <w:rPr>
          <w:rFonts w:hint="eastAsia" w:ascii="仿宋_GB2312" w:hAnsi="宋体" w:eastAsia="仿宋_GB2312"/>
          <w:sz w:val="32"/>
          <w:szCs w:val="32"/>
          <w:lang w:eastAsia="zh-CN"/>
        </w:rPr>
        <w:t>自评综述：根据年初设定的绩效目标，该项目绩效评价结果为优。</w:t>
      </w:r>
      <w:r>
        <w:rPr>
          <w:rFonts w:hint="eastAsia" w:ascii="仿宋_GB2312" w:hAnsi="仿宋_GB2312" w:eastAsia="仿宋_GB2312" w:cs="仿宋_GB2312"/>
          <w:sz w:val="32"/>
          <w:szCs w:val="32"/>
        </w:rPr>
        <w:t>该项目是</w:t>
      </w:r>
      <w:r>
        <w:rPr>
          <w:rFonts w:hint="eastAsia" w:ascii="仿宋" w:hAnsi="仿宋" w:eastAsia="仿宋"/>
          <w:sz w:val="32"/>
          <w:szCs w:val="32"/>
        </w:rPr>
        <w:t>老旧小区改造项目之一，市中心区市管小区增绿工程全年预算数2000万元，全年执行数1604.45万元，</w:t>
      </w:r>
      <w:r>
        <w:rPr>
          <w:rFonts w:hint="eastAsia" w:ascii="仿宋" w:hAnsi="仿宋" w:eastAsia="仿宋"/>
          <w:sz w:val="32"/>
          <w:szCs w:val="32"/>
          <w:lang w:eastAsia="zh-CN"/>
        </w:rPr>
        <w:t>完成预算的</w:t>
      </w:r>
      <w:r>
        <w:rPr>
          <w:rFonts w:hint="eastAsia" w:ascii="仿宋" w:hAnsi="仿宋" w:eastAsia="仿宋"/>
          <w:sz w:val="32"/>
          <w:szCs w:val="32"/>
        </w:rPr>
        <w:t>80%。</w:t>
      </w:r>
      <w:r>
        <w:rPr>
          <w:rFonts w:hint="eastAsia" w:ascii="仿宋" w:hAnsi="仿宋" w:eastAsia="仿宋" w:cs="仿宋"/>
          <w:color w:val="000000" w:themeColor="text1"/>
          <w:sz w:val="32"/>
          <w:szCs w:val="32"/>
          <w14:textFill>
            <w14:solidFill>
              <w14:schemeClr w14:val="tx1"/>
            </w14:solidFill>
          </w14:textFill>
        </w:rPr>
        <w:t>增绿工程涉及29个小区，目前所有项目已全部完工，年终考核全省排名第一。本工程总投资2000万元。没有超出概算指标。</w:t>
      </w:r>
    </w:p>
    <w:p>
      <w:pPr>
        <w:adjustRightInd w:val="0"/>
        <w:snapToGrid w:val="0"/>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唐山市的老旧小区，通过一系列综合提升改造，切实达到了功能齐全、干净整洁、环境优美、生活舒适、出行便利、居住安全的目标。一是居民生活更加舒适。通过老旧供热管网改造，不仅解决了暖气管道跑冒滴漏问题，更加提升了供热质量，室内温度提升3至5度；通过老旧燃气管网改造，切实消除了安全隐患；通过自来水改造，消除了因管道老化造成滴漏和水质不达标的烦恼，使居民饮水更加健康；通过室外污水管网改造，解决了管道堵塞严重，污水外溢频繁等给居民生活带来的麻烦。二是居民生活更加便利。道路提升改造，使小区内原来坑洼不平的路面变得干净平整，让居民出入更加方便、安全；合理增加停车场所，不仅增加了容量，更使得小区内车辆停放有序；增设老人、儿童活动设施，为居民提供了更多的休闲娱乐场所；另外，还引进了菜鸟驿站，增加了便民信箱、快递柜等便民设施。三是居民生活更加安全。小区内增加监控设施，让居民生活更加安全。四是小区面貌更加漂亮。通过统一规范，统一粉刷，改造后的老旧小区发生了美丽的蝶变，越来越多的居民深切感受到了小区改造带来的巨大变化，百姓交口称赞。新华社、中国建设报、河北日报等多家媒体对我市老旧小区改造工作进行了集中报道。</w:t>
      </w:r>
    </w:p>
    <w:p>
      <w:pPr>
        <w:widowControl/>
        <w:jc w:val="left"/>
        <w:rPr>
          <w:rFonts w:ascii="仿宋" w:hAnsi="仿宋" w:eastAsia="仿宋" w:cs="仿宋"/>
          <w:color w:val="000000" w:themeColor="text1"/>
          <w:sz w:val="32"/>
          <w:szCs w:val="32"/>
          <w14:textFill>
            <w14:solidFill>
              <w14:schemeClr w14:val="tx1"/>
            </w14:solidFill>
          </w14:textFill>
        </w:rPr>
        <w:sectPr>
          <w:type w:val="continuous"/>
          <w:pgSz w:w="11906" w:h="16838"/>
          <w:pgMar w:top="2098" w:right="1474" w:bottom="1984" w:left="1588" w:header="851" w:footer="992" w:gutter="0"/>
          <w:pgNumType w:fmt="numberInDash"/>
          <w:cols w:space="0" w:num="1"/>
          <w:docGrid w:type="lines" w:linePitch="312" w:charSpace="0"/>
        </w:sectPr>
      </w:pPr>
    </w:p>
    <w:tbl>
      <w:tblPr>
        <w:tblStyle w:val="8"/>
        <w:tblW w:w="20766" w:type="dxa"/>
        <w:tblInd w:w="-1026" w:type="dxa"/>
        <w:tblLayout w:type="fixed"/>
        <w:tblCellMar>
          <w:top w:w="0" w:type="dxa"/>
          <w:left w:w="108" w:type="dxa"/>
          <w:bottom w:w="0" w:type="dxa"/>
          <w:right w:w="108" w:type="dxa"/>
        </w:tblCellMar>
      </w:tblPr>
      <w:tblGrid>
        <w:gridCol w:w="425"/>
        <w:gridCol w:w="709"/>
        <w:gridCol w:w="567"/>
        <w:gridCol w:w="2977"/>
        <w:gridCol w:w="236"/>
        <w:gridCol w:w="331"/>
        <w:gridCol w:w="183"/>
        <w:gridCol w:w="526"/>
        <w:gridCol w:w="709"/>
        <w:gridCol w:w="708"/>
        <w:gridCol w:w="851"/>
        <w:gridCol w:w="71"/>
        <w:gridCol w:w="236"/>
        <w:gridCol w:w="260"/>
        <w:gridCol w:w="992"/>
        <w:gridCol w:w="992"/>
        <w:gridCol w:w="1084"/>
        <w:gridCol w:w="50"/>
        <w:gridCol w:w="186"/>
        <w:gridCol w:w="381"/>
        <w:gridCol w:w="356"/>
        <w:gridCol w:w="211"/>
        <w:gridCol w:w="526"/>
        <w:gridCol w:w="430"/>
        <w:gridCol w:w="178"/>
        <w:gridCol w:w="993"/>
        <w:gridCol w:w="1646"/>
        <w:gridCol w:w="328"/>
        <w:gridCol w:w="291"/>
        <w:gridCol w:w="2519"/>
        <w:gridCol w:w="814"/>
      </w:tblGrid>
      <w:tr>
        <w:tblPrEx>
          <w:tblLayout w:type="fixed"/>
          <w:tblCellMar>
            <w:top w:w="0" w:type="dxa"/>
            <w:left w:w="108" w:type="dxa"/>
            <w:bottom w:w="0" w:type="dxa"/>
            <w:right w:w="108" w:type="dxa"/>
          </w:tblCellMar>
        </w:tblPrEx>
        <w:trPr>
          <w:gridAfter w:val="7"/>
          <w:wAfter w:w="6769" w:type="dxa"/>
          <w:trHeight w:val="510" w:hRule="atLeast"/>
        </w:trPr>
        <w:tc>
          <w:tcPr>
            <w:tcW w:w="13997" w:type="dxa"/>
            <w:gridSpan w:val="24"/>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预算安排的专项项目绩效目标自评表（2019年度）</w:t>
            </w:r>
          </w:p>
        </w:tc>
      </w:tr>
      <w:tr>
        <w:tblPrEx>
          <w:tblLayout w:type="fixed"/>
          <w:tblCellMar>
            <w:top w:w="0" w:type="dxa"/>
            <w:left w:w="108" w:type="dxa"/>
            <w:bottom w:w="0" w:type="dxa"/>
            <w:right w:w="108" w:type="dxa"/>
          </w:tblCellMar>
        </w:tblPrEx>
        <w:trPr>
          <w:trHeight w:val="285" w:hRule="atLeast"/>
        </w:trPr>
        <w:tc>
          <w:tcPr>
            <w:tcW w:w="4678" w:type="dxa"/>
            <w:gridSpan w:val="4"/>
            <w:tcBorders>
              <w:top w:val="nil"/>
              <w:left w:val="nil"/>
              <w:bottom w:val="nil"/>
              <w:right w:val="nil"/>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项目主管部门:唐山是住房和城乡建设局</w:t>
            </w:r>
          </w:p>
        </w:tc>
        <w:tc>
          <w:tcPr>
            <w:tcW w:w="236"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514" w:type="dxa"/>
            <w:gridSpan w:val="2"/>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2865" w:type="dxa"/>
            <w:gridSpan w:val="5"/>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236"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3328" w:type="dxa"/>
            <w:gridSpan w:val="4"/>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236" w:type="dxa"/>
            <w:gridSpan w:val="2"/>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737" w:type="dxa"/>
            <w:gridSpan w:val="2"/>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737" w:type="dxa"/>
            <w:gridSpan w:val="2"/>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3247" w:type="dxa"/>
            <w:gridSpan w:val="4"/>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32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291"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2519"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814" w:type="dxa"/>
            <w:tcBorders>
              <w:top w:val="nil"/>
              <w:left w:val="nil"/>
              <w:bottom w:val="nil"/>
              <w:right w:val="nil"/>
            </w:tcBorders>
            <w:shd w:val="clear" w:color="auto" w:fill="auto"/>
            <w:vAlign w:val="bottom"/>
          </w:tcPr>
          <w:p>
            <w:pPr>
              <w:widowControl/>
              <w:jc w:val="left"/>
              <w:rPr>
                <w:rFonts w:ascii="宋体" w:hAnsi="宋体" w:eastAsia="宋体" w:cs="宋体"/>
                <w:b/>
                <w:bCs/>
                <w:kern w:val="0"/>
                <w:sz w:val="24"/>
                <w:szCs w:val="24"/>
              </w:rPr>
            </w:pPr>
          </w:p>
        </w:tc>
      </w:tr>
      <w:tr>
        <w:tblPrEx>
          <w:tblLayout w:type="fixed"/>
          <w:tblCellMar>
            <w:top w:w="0" w:type="dxa"/>
            <w:left w:w="108" w:type="dxa"/>
            <w:bottom w:w="0" w:type="dxa"/>
            <w:right w:w="108" w:type="dxa"/>
          </w:tblCellMar>
        </w:tblPrEx>
        <w:trPr>
          <w:gridAfter w:val="5"/>
          <w:wAfter w:w="5598" w:type="dxa"/>
          <w:trHeight w:val="285" w:hRule="atLeast"/>
        </w:trPr>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序号</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项目名称（全称）</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项目实施单位</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项目概况</w:t>
            </w:r>
          </w:p>
        </w:tc>
        <w:tc>
          <w:tcPr>
            <w:tcW w:w="198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项目资金</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年度总体目标</w:t>
            </w:r>
          </w:p>
        </w:tc>
        <w:tc>
          <w:tcPr>
            <w:tcW w:w="5953"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绩效指标</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说明</w:t>
            </w: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6"/>
                <w:szCs w:val="16"/>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6"/>
                <w:szCs w:val="16"/>
              </w:rPr>
            </w:pP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全年预算数（A）</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全年执行数（B）</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执行率（B/A）</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年初设定目标</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全年实际完成情况</w:t>
            </w:r>
          </w:p>
        </w:tc>
        <w:tc>
          <w:tcPr>
            <w:tcW w:w="5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一级指标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二级指标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年度指标值</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全年完成值</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评价等级</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是否开展自评</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未完成原因和改进措施</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6"/>
                <w:szCs w:val="16"/>
              </w:rPr>
            </w:pPr>
          </w:p>
        </w:tc>
      </w:tr>
      <w:tr>
        <w:tblPrEx>
          <w:tblLayout w:type="fixed"/>
          <w:tblCellMar>
            <w:top w:w="0" w:type="dxa"/>
            <w:left w:w="108" w:type="dxa"/>
            <w:bottom w:w="0" w:type="dxa"/>
            <w:right w:w="108" w:type="dxa"/>
          </w:tblCellMar>
        </w:tblPrEx>
        <w:trPr>
          <w:gridAfter w:val="5"/>
          <w:wAfter w:w="5598" w:type="dxa"/>
          <w:trHeight w:val="450"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电子政务网络改造和办公自动化系统建设</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河北爱信诺科技有限公司</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我局机关内设处室16个、局属单位28个, 市临时机构9个，市纪委驻局机构1个，工作点多面广，任务重、要求高。为节约办公成本、提高办公效率，2019年我局向市财政申请了电子政务网络改造和办公自动化平台的专项建设资金用于采购网络改造所需的电子设备、电子政务网络线路以及办公自动化软件等产品和服务。</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150</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137.73</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91.82%</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设备采购</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42项设备采购</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42项设备采购</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已完成</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Layout w:type="fixed"/>
          <w:tblCellMar>
            <w:top w:w="0" w:type="dxa"/>
            <w:left w:w="108" w:type="dxa"/>
            <w:bottom w:w="0" w:type="dxa"/>
            <w:right w:w="108" w:type="dxa"/>
          </w:tblCellMar>
        </w:tblPrEx>
        <w:trPr>
          <w:gridAfter w:val="5"/>
          <w:wAfter w:w="5598" w:type="dxa"/>
          <w:trHeight w:val="45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线路租赁</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14条线路</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14条线路</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已完成</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45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软件采购</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1套</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1套</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已完成</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45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专家论证</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1次</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1次</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已完成</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405"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唐山市住房和城乡建设信息管理服务平台</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江苏国泰新点软件有限公司</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河北爱信诺航天信息有限公司</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为解决唐山市住房和城乡建设局平台系统多、未实现数据共享、数据交叉录入、数据标准不统一、缺乏监管手段等问题，对我局处室及所属单位所有自建系统、数据进行整合，建立唐山市住房和城乡建设信息管理服务平台。</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300</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95.03</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31.68%</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完成硬件部分分成采购，确保硬件部分能够顺利运行。</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硬件部分完成采购、安装、部署、调试和验收工作。</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数量指标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硬件采购数量</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Layout w:type="fixed"/>
          <w:tblCellMar>
            <w:top w:w="0" w:type="dxa"/>
            <w:left w:w="108" w:type="dxa"/>
            <w:bottom w:w="0" w:type="dxa"/>
            <w:right w:w="108" w:type="dxa"/>
          </w:tblCellMar>
        </w:tblPrEx>
        <w:trPr>
          <w:gridAfter w:val="5"/>
          <w:wAfter w:w="5598" w:type="dxa"/>
          <w:trHeight w:val="40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质量指标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硬件验收合格率</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40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时效指标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硬件部署调试完成时限</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2100"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采暖季集中供热补贴</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唐山市热力总公司</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br w:type="textWrapping"/>
            </w:r>
            <w:r>
              <w:rPr>
                <w:rFonts w:hint="eastAsia" w:ascii="宋体" w:hAnsi="宋体" w:eastAsia="宋体" w:cs="宋体"/>
                <w:kern w:val="0"/>
                <w:sz w:val="16"/>
                <w:szCs w:val="16"/>
              </w:rPr>
              <w:t>2018-2019采暖季集中供热补贴4525万元的拨付保证了冬季正常供热工作，有效缓解了生产运营资金不足的现状，保障了供热工作的正常进行，达到了圆满完成我市2018-2019采暖季全市居民供热任务的目标。</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4525</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4525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4525万元</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4525万元</w:t>
            </w:r>
          </w:p>
        </w:tc>
        <w:tc>
          <w:tcPr>
            <w:tcW w:w="5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供热建筑面积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4873万平米</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4785万平米</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由于供热实际出现报停较多，所以导致实际完成供热建筑面积小于预期目标值，今后加强预测，将充分考虑停供可能性。</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无</w:t>
            </w:r>
          </w:p>
        </w:tc>
      </w:tr>
      <w:tr>
        <w:tblPrEx>
          <w:tblLayout w:type="fixed"/>
          <w:tblCellMar>
            <w:top w:w="0" w:type="dxa"/>
            <w:left w:w="108" w:type="dxa"/>
            <w:bottom w:w="0" w:type="dxa"/>
            <w:right w:w="108" w:type="dxa"/>
          </w:tblCellMar>
        </w:tblPrEx>
        <w:trPr>
          <w:gridAfter w:val="5"/>
          <w:wAfter w:w="5598" w:type="dxa"/>
          <w:trHeight w:val="61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效果指标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室内温度</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18±2</w:t>
            </w:r>
            <w:r>
              <w:rPr>
                <w:rFonts w:hint="eastAsia" w:ascii="宋体" w:hAnsi="宋体" w:eastAsia="宋体" w:cs="宋体"/>
                <w:color w:val="000000"/>
                <w:kern w:val="0"/>
                <w:sz w:val="16"/>
                <w:szCs w:val="16"/>
              </w:rPr>
              <w:t>℃</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18±2</w:t>
            </w:r>
            <w:r>
              <w:rPr>
                <w:rFonts w:hint="eastAsia" w:ascii="宋体" w:hAnsi="宋体" w:eastAsia="宋体" w:cs="宋体"/>
                <w:color w:val="000000"/>
                <w:kern w:val="0"/>
                <w:sz w:val="16"/>
                <w:szCs w:val="16"/>
              </w:rPr>
              <w:t>℃</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61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采暖季正常供热</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2018年11月15日-2019年3月15日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2018年11月5日-2019年3月17日</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780"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唐山市供热监管指挥信息平台</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软件部分中标单位：河北工大科雅能源科技股份有限公司。硬件部分中标单位：唐山市鑫铭科技开发有限公司</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供热监管指挥平台建设是互联网、大数据和人工智能技术在城市供热领域的深化应用，是促进资源优化配置、降低能耗、减少污染物排放的重要途径，是提升供热保障能力、企业管理和服务水平的重要基础。</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573.5</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92.87</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16.19%</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平台搭建完成，实现功能三联动。室内温度采集器安装完成</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平台软件部发开发完成，与省厅对接完成，部分企业数据已经上传硬件部分已经确定中标单位。</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产出一</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6"/>
                <w:szCs w:val="16"/>
              </w:rPr>
            </w:pPr>
            <w:r>
              <w:rPr>
                <w:rFonts w:hint="eastAsia" w:ascii="宋体" w:hAnsi="宋体" w:eastAsia="宋体" w:cs="宋体"/>
                <w:color w:val="000000"/>
                <w:kern w:val="0"/>
                <w:sz w:val="16"/>
                <w:szCs w:val="16"/>
              </w:rPr>
              <w:t>供热监管指挥信息平台软件功能模块</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已完成</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Layout w:type="fixed"/>
          <w:tblCellMar>
            <w:top w:w="0" w:type="dxa"/>
            <w:left w:w="108" w:type="dxa"/>
            <w:bottom w:w="0" w:type="dxa"/>
            <w:right w:w="108" w:type="dxa"/>
          </w:tblCellMar>
        </w:tblPrEx>
        <w:trPr>
          <w:gridAfter w:val="5"/>
          <w:wAfter w:w="5598" w:type="dxa"/>
          <w:trHeight w:val="1215"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产出二</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6"/>
                <w:szCs w:val="16"/>
              </w:rPr>
            </w:pPr>
            <w:r>
              <w:rPr>
                <w:rFonts w:hint="eastAsia" w:ascii="宋体" w:hAnsi="宋体" w:eastAsia="宋体" w:cs="宋体"/>
                <w:color w:val="000000"/>
                <w:kern w:val="0"/>
                <w:sz w:val="16"/>
                <w:szCs w:val="16"/>
              </w:rPr>
              <w:t>供热监管指挥信息平台硬件系统</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未完成</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通过政府采购网于2019年12月31日开标，确定了中标单位</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108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产出三</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6"/>
                <w:szCs w:val="16"/>
              </w:rPr>
            </w:pPr>
            <w:r>
              <w:rPr>
                <w:rFonts w:hint="eastAsia" w:ascii="宋体" w:hAnsi="宋体" w:eastAsia="宋体" w:cs="宋体"/>
                <w:color w:val="000000"/>
                <w:kern w:val="0"/>
                <w:sz w:val="16"/>
                <w:szCs w:val="16"/>
              </w:rPr>
              <w:t>典型热用户室温采集系统性价比及功能效果评价</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未完成</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通过政府采购网于2019年12月31日开标，确定中标单位</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183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效果指标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效果一</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6"/>
                <w:szCs w:val="16"/>
              </w:rPr>
            </w:pPr>
            <w:r>
              <w:rPr>
                <w:rFonts w:hint="eastAsia" w:ascii="宋体" w:hAnsi="宋体" w:eastAsia="宋体" w:cs="宋体"/>
                <w:color w:val="000000"/>
                <w:kern w:val="0"/>
                <w:sz w:val="16"/>
                <w:szCs w:val="16"/>
              </w:rPr>
              <w:t>市级平台覆盖范围</w:t>
            </w:r>
          </w:p>
        </w:tc>
        <w:tc>
          <w:tcPr>
            <w:tcW w:w="1134"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6"/>
                <w:szCs w:val="16"/>
              </w:rPr>
            </w:pPr>
            <w:r>
              <w:rPr>
                <w:rFonts w:hint="eastAsia" w:ascii="宋体" w:hAnsi="宋体" w:eastAsia="宋体" w:cs="宋体"/>
                <w:color w:val="000000"/>
                <w:kern w:val="0"/>
                <w:sz w:val="16"/>
                <w:szCs w:val="16"/>
              </w:rPr>
              <w:t>2019年应覆盖主城区全部供热区域、600万平米以上的县市区、300万平方米以上的供热企业</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供热企业缺乏技术力量，进展缓慢。下一步加强督导，充分发挥中标单位技术支持给予供热企业支持。</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138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效果二</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6"/>
                <w:szCs w:val="16"/>
              </w:rPr>
            </w:pPr>
            <w:r>
              <w:rPr>
                <w:rFonts w:hint="eastAsia" w:ascii="宋体" w:hAnsi="宋体" w:eastAsia="宋体" w:cs="宋体"/>
                <w:color w:val="000000"/>
                <w:kern w:val="0"/>
                <w:sz w:val="16"/>
                <w:szCs w:val="16"/>
              </w:rPr>
              <w:t>供热监管督导</w:t>
            </w:r>
          </w:p>
        </w:tc>
        <w:tc>
          <w:tcPr>
            <w:tcW w:w="1134"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6"/>
                <w:szCs w:val="16"/>
              </w:rPr>
            </w:pPr>
            <w:r>
              <w:rPr>
                <w:rFonts w:hint="eastAsia" w:ascii="宋体" w:hAnsi="宋体" w:eastAsia="宋体" w:cs="宋体"/>
                <w:color w:val="000000"/>
                <w:kern w:val="0"/>
                <w:sz w:val="16"/>
                <w:szCs w:val="16"/>
              </w:rPr>
              <w:t>提升供热服务监管督导的服务能力、对供热系统指挥调度的决策支出能力</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已实现督导</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14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效果三</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6"/>
                <w:szCs w:val="16"/>
              </w:rPr>
            </w:pPr>
            <w:r>
              <w:rPr>
                <w:rFonts w:hint="eastAsia" w:ascii="宋体" w:hAnsi="宋体" w:eastAsia="宋体" w:cs="宋体"/>
                <w:color w:val="000000"/>
                <w:kern w:val="0"/>
                <w:sz w:val="16"/>
                <w:szCs w:val="16"/>
              </w:rPr>
              <w:t>供热监测保障</w:t>
            </w:r>
          </w:p>
        </w:tc>
        <w:tc>
          <w:tcPr>
            <w:tcW w:w="1134"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6"/>
                <w:szCs w:val="16"/>
              </w:rPr>
            </w:pPr>
            <w:r>
              <w:rPr>
                <w:rFonts w:hint="eastAsia" w:ascii="宋体" w:hAnsi="宋体" w:eastAsia="宋体" w:cs="宋体"/>
                <w:color w:val="000000"/>
                <w:kern w:val="0"/>
                <w:sz w:val="16"/>
                <w:szCs w:val="16"/>
              </w:rPr>
              <w:t>城市供热保障能力、供热预警预测、应急处理</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6"/>
                <w:szCs w:val="16"/>
              </w:rPr>
            </w:pPr>
            <w:r>
              <w:rPr>
                <w:rFonts w:hint="eastAsia" w:ascii="宋体" w:hAnsi="宋体" w:eastAsia="宋体" w:cs="宋体"/>
                <w:color w:val="000000"/>
                <w:kern w:val="0"/>
                <w:sz w:val="16"/>
                <w:szCs w:val="16"/>
              </w:rPr>
              <w:t>实现供热预警及应急处理信息化管理，快速处理；城市供热安全保障水平显著提升</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1050"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农村危房改造</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市住建局</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为切实做好全市2019-2020年度农村危房改造工作，对全市现有4类重点对象危房存量全部予以安排，帮助解决最基本安全住房。</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50</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16.55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33.10%</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完成市财政直管区4类重点对象危房改造计划1000户,对市辖区农村危房改造每户补助标准为500元</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2019-2020年度省达我市4类重点对象改造任务1200户，截至9月底，已全部竣工。（含市财政直管区4类重点对象危房改造331户）</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完成市财政直管区4类重点对象危房改造计划1000户（任务数根据贫困户身份动态管理）</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331</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改造后房屋验收合格比例</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当年开工率100%</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执行分类分级补助标准</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63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效果指标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改造后房屋在相当于本地区抗震设防烈度地震中表现</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改造后房屋保持安全期限</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危房改造户满意度≥90%</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住建局市直管旧小区物业补助专项资金</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唐山市住房和城乡建设局</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对20个市管小区共用部位养护、共用设施设备、安保消防秩序、环境卫生、绿化五大项的管理情况逐个进行了考核评比打分。项目工程进度完成计划100%，验收合格率90%。</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293.50</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293.5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100.00%</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293.5</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293.5</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产出指标</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产出一</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293.5</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100.95</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已完成</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效果指标</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效果一</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百分制绩效评价指标体系考核</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其中管理绩效30分、结果绩效70分</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95分</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已完成</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保障性住房建设维护管理项目</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唐山市住房和城乡建设局</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项目该项目资金全部于保障性住房小区的新建、维修、维护、管理等支出。截止到2019年12月以完成财政资金1608.404万元，预算执行率80%。每月进行拨付</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2000.00</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1608.404</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80.42%</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2000</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1608.404</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产出指标</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产出一</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2000</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1608.404</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良</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部分底商租期尚未到期</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效果指标</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效果一</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百分制绩效评价指标体系考核</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其中管理绩效27分、结果绩效58分</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85分</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2019年沁园里小区更换设施设备维修工程</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唐山市住房和城乡建设局</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2019年沁园里小区更换设施设备维修工程，市级财政预算安排预备费136.00万元，工程预期2019年12月30日完工。本次施工内容包括：锅炉房内设备改造、直埋管热水管网改造、污水管网改造、混凝土路面修复。</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136.00</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100.95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74.23%</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100.95</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100.95</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产出指标</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产出一</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136</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100.95</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优</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已完成</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该项目经公开招标中标价120.55万元，工程已完成100.94万元，按合同约定预留保修金。</w:t>
            </w: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效果指标</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效果一</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百分制绩效评价指标体系考核</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其中管理绩效30分、结果绩效70分</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100分</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是</w:t>
            </w:r>
          </w:p>
        </w:tc>
        <w:tc>
          <w:tcPr>
            <w:tcW w:w="113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已完成</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312"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13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市管小区沿街坡屋面加固项目</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唐山市住房和城乡建设局</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新做坡屋顶基础、屋面防水、屋顶钢架、屋面瓦及附属物安装，现有太阳能热水器移位</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3687</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1072.01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29%</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进一步和保障和改善民生，处理好、解决好人民群众最关心、最直接、最现实的利益问题，提升小区档次，让市民住惯了的老小区、老楼房更加舒适宜居，同步推进小区环境维护提升，提高群众获得感、幸福感，见缝插绿、退硬还绿、拆墙透绿和填景增彩；提高群众满意度</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全部完成</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28个坡屋顶</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全部完成</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100%合格</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全部合格</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按合同约定工期完成</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已全部完工</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效果指标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未涉及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105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改善居民生活环境</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加设坡屋面提升了小区整体环境，从而提高了城市整体形象，改善了居民生活环境。</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未涉及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老旧小区提升改造项目</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唐山市住房和城乡建设局</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供水系统、室外排水系统改造、阳台加固、屋面防水、增绿、道路硬化、铺装路缘石、拆除违建、楼道改造、热力改造、强电入地、弱电线路整理改造</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51125.9</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10015.73</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全部完成</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未改造的所有市直管老旧小区</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全部完成</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100%合格</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全部合格</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按合同约定工期完成</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已全部完工</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效果指标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未涉及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168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小区提高绿化覆盖率；改善硬化率；解决了给排水跑冒滴漏现象：有效提高了节能能效。提升了城市整体形象，改善了居民生活环境</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达到预期标准</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未涉及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既有建筑节能改造项目</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唐山市住房和城乡建设局</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对老旧住宅进行外墙保温、屋面保温及防水改造，更换（增加）公共门窗，统一油漆阳台罩</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9800</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5507.87</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56%</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全部完成</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改造完成面积81.37万平方米</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全部完成</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100%合格</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全部合格</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按合同约定工期完成</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已全部完工</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效果指标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未涉及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84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节能能效提高了30%；提高了室内温度，提升了社区整体环境</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达到预期标准</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未涉及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市中心区市管小区增绿工程</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唐山市住房和城乡建设局</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市中心区市管小区采取“见缝插绿、退硬还绿、拆墙透绿和填景增彩”等措施对市中心市管小区进行增绿改造</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2000</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1604.45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80%</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全部完成</w:t>
            </w: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增绿小区29个</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全部完成</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无</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100%合格</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全部合格</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42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按合同约定工期完成</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已全部完工</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效果指标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未涉及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84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小区增绿面积覆盖率30%；提升社区整体环境，改善了居民生活环境。</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达到预期标准</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是</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无</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Layout w:type="fixed"/>
          <w:tblCellMar>
            <w:top w:w="0" w:type="dxa"/>
            <w:left w:w="108" w:type="dxa"/>
            <w:bottom w:w="0" w:type="dxa"/>
            <w:right w:w="108" w:type="dxa"/>
          </w:tblCellMar>
        </w:tblPrEx>
        <w:trPr>
          <w:gridAfter w:val="5"/>
          <w:wAfter w:w="5598" w:type="dxa"/>
          <w:trHeight w:val="270" w:hRule="atLeast"/>
        </w:trPr>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6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未涉及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bl>
    <w:p>
      <w:pPr>
        <w:keepNext/>
        <w:keepLines/>
        <w:snapToGrid w:val="0"/>
        <w:spacing w:line="580" w:lineRule="exact"/>
        <w:ind w:left="-1558" w:leftChars="-742" w:firstLine="640" w:firstLineChars="200"/>
        <w:outlineLvl w:val="1"/>
        <w:rPr>
          <w:rFonts w:ascii="黑体" w:hAnsi="Calibri" w:eastAsia="黑体" w:cs="Times New Roman"/>
          <w:sz w:val="32"/>
          <w:szCs w:val="32"/>
        </w:rPr>
        <w:sectPr>
          <w:pgSz w:w="16838" w:h="11906" w:orient="landscape"/>
          <w:pgMar w:top="1588" w:right="2098" w:bottom="1474" w:left="1985" w:header="851" w:footer="992" w:gutter="0"/>
          <w:pgNumType w:fmt="numberInDash"/>
          <w:cols w:space="0" w:num="1"/>
          <w:docGrid w:type="linesAndChars" w:linePitch="312" w:charSpace="0"/>
        </w:sect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0"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本部门2019年度机关运行经费支出982.89万元，比2018年度增加587.02万元，增长148.29%。主要原因是我市作为</w:t>
      </w:r>
      <w:r>
        <w:rPr>
          <w:rFonts w:ascii="仿宋_GB2312" w:hAnsi="Times New Roman" w:eastAsia="仿宋_GB2312" w:cs="DengXian-Regular"/>
          <w:sz w:val="32"/>
          <w:szCs w:val="32"/>
        </w:rPr>
        <w:t>2019年世界城市日中国主场活动城市</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活动经费在我局预算中安排</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较年初预算增加</w:t>
      </w:r>
      <w:r>
        <w:rPr>
          <w:rFonts w:hint="eastAsia" w:ascii="仿宋_GB2312" w:hAnsi="Times New Roman" w:eastAsia="仿宋_GB2312" w:cs="DengXian-Regular"/>
          <w:sz w:val="32"/>
          <w:szCs w:val="32"/>
          <w:lang w:val="en-US" w:eastAsia="zh-CN"/>
        </w:rPr>
        <w:t>419.14万元，主要是追加了</w:t>
      </w:r>
      <w:r>
        <w:rPr>
          <w:rFonts w:ascii="仿宋_GB2312" w:hAnsi="Times New Roman" w:eastAsia="仿宋_GB2312" w:cs="DengXian-Regular"/>
          <w:sz w:val="32"/>
          <w:szCs w:val="32"/>
        </w:rPr>
        <w:t>世界城市日中国主场活动</w:t>
      </w:r>
      <w:r>
        <w:rPr>
          <w:rFonts w:hint="eastAsia" w:ascii="仿宋_GB2312" w:hAnsi="Times New Roman" w:eastAsia="仿宋_GB2312" w:cs="DengXian-Regular"/>
          <w:sz w:val="32"/>
          <w:szCs w:val="32"/>
          <w:lang w:eastAsia="zh-CN"/>
        </w:rPr>
        <w:t>经费和扬尘治理工作经费等。</w:t>
      </w:r>
    </w:p>
    <w:p>
      <w:pPr>
        <w:keepNext/>
        <w:keepLines/>
        <w:snapToGrid w:val="0"/>
        <w:spacing w:line="580" w:lineRule="exact"/>
        <w:ind w:firstLine="640"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本部门2019年度政府采购支出总额34634.19万元，从采购类型来看，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bidi="ar"/>
        </w:rPr>
        <w:t>388.96</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bidi="ar"/>
        </w:rPr>
        <w:t>31209.33</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bidi="ar"/>
        </w:rPr>
        <w:t>3035.9</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eastAsia="zh-CN" w:bidi="ar"/>
        </w:rPr>
        <w:t>额</w:t>
      </w:r>
      <w:r>
        <w:rPr>
          <w:rFonts w:hint="eastAsia" w:ascii="仿宋_GB2312" w:hAnsi="仿宋_GB2312" w:eastAsia="仿宋_GB2312" w:cs="仿宋_GB2312"/>
          <w:color w:val="000000"/>
          <w:kern w:val="0"/>
          <w:sz w:val="32"/>
          <w:szCs w:val="32"/>
          <w:lang w:bidi="ar"/>
        </w:rPr>
        <w:t>34634.19</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bidi="ar"/>
        </w:rPr>
        <w:t>100%，</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bidi="ar"/>
        </w:rPr>
        <w:t>34593.38</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bidi="ar"/>
        </w:rPr>
        <w:t>99.89</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0"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26辆，比上年增减少6辆，主要是事业单位车改。其中，主要领导干部用车1辆，机要通信用车3辆，执法执勤用车2辆，特种专业技术用车2辆，其他用车18辆，其他用车主要是业务保障用车；</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万元以上通用设备5套，比上年增加2套，为电子政务网络改造和办公自动化平台，和住房和城乡建设信息管理服务平台。单位价值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万元以上专用设备1套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比上年增加1套，为供热监管指挥信息平台系统。</w:t>
      </w:r>
    </w:p>
    <w:p>
      <w:pPr>
        <w:keepNext/>
        <w:keepLines/>
        <w:snapToGrid w:val="0"/>
        <w:spacing w:line="580" w:lineRule="exact"/>
        <w:ind w:firstLine="640"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本部门2019年度无国有资本经营预算财政拨款收支情况，故国有资本经营预算财政拨款支出决算表以空表列示。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0" w:firstLineChars="200"/>
        <w:jc w:val="left"/>
        <w:rPr>
          <w:rFonts w:ascii="宋体" w:hAnsi="宋体" w:eastAsia="宋体" w:cs="MS-UIGothic,Bold"/>
          <w:b/>
          <w:bCs/>
          <w:kern w:val="0"/>
          <w:sz w:val="44"/>
          <w:szCs w:val="44"/>
        </w:rPr>
        <w:sectPr>
          <w:pgSz w:w="11906" w:h="16838"/>
          <w:pgMar w:top="2098" w:right="1474" w:bottom="1985" w:left="1588" w:header="851" w:footer="992" w:gutter="0"/>
          <w:pgNumType w:fmt="numberInDash"/>
          <w:cols w:space="0" w:num="1"/>
          <w:docGrid w:type="linesAndChar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98" w:right="1474" w:bottom="1985" w:left="1588" w:header="851" w:footer="992" w:gutter="0"/>
          <w:pgNumType w:fmt="numberInDash"/>
          <w:cols w:space="0" w:num="1"/>
          <w:titlePg/>
          <w:docGrid w:type="linesAndChars" w:linePitch="312" w:charSpace="0"/>
        </w:sectPr>
      </w:pPr>
    </w:p>
    <w:p>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98" w:right="1474" w:bottom="1985" w:left="1588" w:header="851" w:footer="992" w:gutter="0"/>
          <w:pgNumType w:fmt="numberInDash"/>
          <w:cols w:space="0" w:num="1"/>
          <w:titlePg/>
          <w:docGrid w:type="linesAndChar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43728076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437280768;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fill type="pattern" on="t" color2="#FFFFFF [3212]" focussize="0,0" r:id="rId25"/>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
    <w:p>
      <w:pPr>
        <w:tabs>
          <w:tab w:val="left" w:pos="886"/>
        </w:tabs>
        <w:jc w:val="left"/>
        <w:sectPr>
          <w:headerReference r:id="rId19" w:type="first"/>
          <w:pgSz w:w="11906" w:h="16838"/>
          <w:pgMar w:top="2098" w:right="1474" w:bottom="1985" w:left="1588" w:header="851" w:footer="992" w:gutter="0"/>
          <w:pgNumType w:fmt="numberInDash"/>
          <w:cols w:space="0" w:num="1"/>
          <w:titlePg/>
          <w:docGrid w:type="linesAndChar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0" w:type="default"/>
          <w:type w:val="continuous"/>
          <w:pgSz w:w="11906" w:h="16838"/>
          <w:pgMar w:top="2098" w:right="1474" w:bottom="1985" w:left="1588" w:header="851" w:footer="992" w:gutter="0"/>
          <w:pgNumType w:fmt="numberInDash"/>
          <w:cols w:space="425" w:num="1"/>
          <w:docGrid w:type="linesAndChars" w:linePitch="312" w:charSpace="0"/>
        </w:sectPr>
      </w:pPr>
    </w:p>
    <w:p>
      <w:pPr>
        <w:tabs>
          <w:tab w:val="left" w:pos="235"/>
        </w:tabs>
        <w:jc w:val="left"/>
        <w:sectPr>
          <w:pgSz w:w="11906" w:h="16838"/>
          <w:pgMar w:top="2098" w:right="1474" w:bottom="1985" w:left="1588" w:header="851" w:footer="992" w:gutter="0"/>
          <w:pgNumType w:fmt="numberInDash"/>
          <w:cols w:space="425" w:num="1"/>
          <w:docGrid w:type="linesAndChars" w:linePitch="312" w:charSpace="0"/>
        </w:sectPr>
      </w:pPr>
      <w:r>
        <w:rPr>
          <w:sz w:val="72"/>
        </w:rPr>
        <mc:AlternateContent>
          <mc:Choice Requires="wps">
            <w:drawing>
              <wp:anchor distT="0" distB="0" distL="114300" distR="114300" simplePos="0" relativeHeight="437281792"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437281792;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fill type="pattern" on="t" color2="#FFFFFF [3212]" focussize="0,0" r:id="rId25"/>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jc w:val="left"/>
      </w:pPr>
    </w:p>
    <w:tbl>
      <w:tblPr>
        <w:tblStyle w:val="8"/>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731"/>
        <w:gridCol w:w="691"/>
        <w:gridCol w:w="3474"/>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微软雅黑" w:hAnsi="微软雅黑" w:eastAsia="微软雅黑" w:cs="Arial"/>
                <w:color w:val="000000"/>
                <w:sz w:val="16"/>
                <w:szCs w:val="16"/>
              </w:rPr>
            </w:pPr>
            <w:r>
              <w:rPr>
                <w:rFonts w:hint="eastAsia" w:ascii="微软雅黑" w:hAnsi="微软雅黑" w:eastAsia="微软雅黑" w:cs="Arial"/>
                <w:color w:val="000000"/>
                <w:sz w:val="16"/>
                <w:szCs w:val="16"/>
              </w:rPr>
              <w:t>86,341.81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微软雅黑" w:hAnsi="微软雅黑" w:eastAsia="微软雅黑" w:cs="Arial"/>
                <w:color w:val="000000"/>
                <w:sz w:val="16"/>
                <w:szCs w:val="16"/>
              </w:rPr>
            </w:pPr>
            <w:r>
              <w:rPr>
                <w:rFonts w:hint="eastAsia" w:ascii="微软雅黑" w:hAnsi="微软雅黑" w:eastAsia="微软雅黑" w:cs="Arial"/>
                <w:color w:val="000000"/>
                <w:sz w:val="16"/>
                <w:szCs w:val="16"/>
              </w:rPr>
              <w:t>3,197.82</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微软雅黑" w:hAnsi="微软雅黑" w:eastAsia="微软雅黑" w:cs="Arial"/>
                <w:color w:val="000000"/>
                <w:sz w:val="16"/>
                <w:szCs w:val="16"/>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微软雅黑" w:hAnsi="微软雅黑" w:eastAsia="微软雅黑" w:cs="Arial"/>
                <w:color w:val="000000"/>
                <w:sz w:val="16"/>
                <w:szCs w:val="16"/>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微软雅黑" w:hAnsi="微软雅黑" w:eastAsia="微软雅黑" w:cs="Arial"/>
                <w:color w:val="000000"/>
                <w:sz w:val="16"/>
                <w:szCs w:val="16"/>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37.69</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微软雅黑" w:hAnsi="微软雅黑" w:eastAsia="微软雅黑" w:cs="Arial"/>
                <w:color w:val="000000"/>
                <w:sz w:val="16"/>
                <w:szCs w:val="16"/>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微软雅黑" w:hAnsi="微软雅黑" w:eastAsia="微软雅黑" w:cs="Arial"/>
                <w:color w:val="000000"/>
                <w:sz w:val="16"/>
                <w:szCs w:val="16"/>
              </w:rPr>
            </w:pPr>
            <w:r>
              <w:rPr>
                <w:rFonts w:hint="eastAsia" w:ascii="微软雅黑" w:hAnsi="微软雅黑" w:eastAsia="微软雅黑" w:cs="Arial"/>
                <w:color w:val="000000"/>
                <w:sz w:val="16"/>
                <w:szCs w:val="16"/>
              </w:rPr>
              <w:t>4.70</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616.78</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663.70</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6,403.79</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34,851.33</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18.11</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8,802.73</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89,544.33</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51,394.14</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0.16</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13,828.17</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51,978.19</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103,372.50</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103,372.50</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注：本表反映部门本年度的总收支和年末结转结余情况。</w:t>
            </w:r>
          </w:p>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eastAsia="宋体" w:cs="宋体"/>
                <w:color w:val="000000"/>
                <w:kern w:val="0"/>
                <w:sz w:val="22"/>
                <w:lang w:bidi="ar"/>
              </w:rPr>
            </w:pPr>
          </w:p>
        </w:tc>
      </w:tr>
    </w:tbl>
    <w:tbl>
      <w:tblPr>
        <w:tblStyle w:val="8"/>
        <w:tblW w:w="9583" w:type="dxa"/>
        <w:jc w:val="center"/>
        <w:tblInd w:w="0" w:type="dxa"/>
        <w:tblLayout w:type="fixed"/>
        <w:tblCellMar>
          <w:top w:w="0" w:type="dxa"/>
          <w:left w:w="0" w:type="dxa"/>
          <w:bottom w:w="0" w:type="dxa"/>
          <w:right w:w="0" w:type="dxa"/>
        </w:tblCellMar>
      </w:tblPr>
      <w:tblGrid>
        <w:gridCol w:w="630"/>
        <w:gridCol w:w="36"/>
        <w:gridCol w:w="36"/>
        <w:gridCol w:w="4030"/>
        <w:gridCol w:w="990"/>
        <w:gridCol w:w="990"/>
        <w:gridCol w:w="596"/>
        <w:gridCol w:w="580"/>
        <w:gridCol w:w="565"/>
        <w:gridCol w:w="553"/>
        <w:gridCol w:w="577"/>
      </w:tblGrid>
      <w:tr>
        <w:tblPrEx>
          <w:tblLayout w:type="fixed"/>
          <w:tblCellMar>
            <w:top w:w="0" w:type="dxa"/>
            <w:left w:w="0" w:type="dxa"/>
            <w:bottom w:w="0" w:type="dxa"/>
            <w:right w:w="0" w:type="dxa"/>
          </w:tblCellMar>
        </w:tblPrEx>
        <w:trPr>
          <w:trHeight w:val="670" w:hRule="atLeast"/>
          <w:jc w:val="center"/>
        </w:trPr>
        <w:tc>
          <w:tcPr>
            <w:tcW w:w="9583"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lang w:bidi="ar"/>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Layout w:type="fixed"/>
          <w:tblCellMar>
            <w:top w:w="0" w:type="dxa"/>
            <w:left w:w="0" w:type="dxa"/>
            <w:bottom w:w="0" w:type="dxa"/>
            <w:right w:w="0" w:type="dxa"/>
          </w:tblCellMar>
        </w:tblPrEx>
        <w:trPr>
          <w:trHeight w:val="357" w:hRule="atLeast"/>
          <w:jc w:val="center"/>
        </w:trPr>
        <w:tc>
          <w:tcPr>
            <w:tcW w:w="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3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Layout w:type="fixed"/>
          <w:tblCellMar>
            <w:top w:w="0" w:type="dxa"/>
            <w:left w:w="0" w:type="dxa"/>
            <w:bottom w:w="0" w:type="dxa"/>
            <w:right w:w="0" w:type="dxa"/>
          </w:tblCellMar>
        </w:tblPrEx>
        <w:trPr>
          <w:trHeight w:val="357" w:hRule="atLeast"/>
          <w:jc w:val="center"/>
        </w:trPr>
        <w:tc>
          <w:tcPr>
            <w:tcW w:w="6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95"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85" w:hRule="atLeast"/>
          <w:jc w:val="center"/>
        </w:trPr>
        <w:tc>
          <w:tcPr>
            <w:tcW w:w="47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9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9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59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5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5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5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57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Layout w:type="fixed"/>
          <w:tblCellMar>
            <w:top w:w="0" w:type="dxa"/>
            <w:left w:w="0" w:type="dxa"/>
            <w:bottom w:w="0" w:type="dxa"/>
            <w:right w:w="0" w:type="dxa"/>
          </w:tblCellMar>
        </w:tblPrEx>
        <w:trPr>
          <w:trHeight w:val="380" w:hRule="atLeast"/>
          <w:jc w:val="center"/>
        </w:trPr>
        <w:tc>
          <w:tcPr>
            <w:tcW w:w="7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4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473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Layout w:type="fixed"/>
          <w:tblCellMar>
            <w:top w:w="0" w:type="dxa"/>
            <w:left w:w="0" w:type="dxa"/>
            <w:bottom w:w="0" w:type="dxa"/>
            <w:right w:w="0" w:type="dxa"/>
          </w:tblCellMar>
        </w:tblPrEx>
        <w:trPr>
          <w:trHeight w:val="385" w:hRule="atLeast"/>
          <w:jc w:val="center"/>
        </w:trPr>
        <w:tc>
          <w:tcPr>
            <w:tcW w:w="473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Arial"/>
                <w:color w:val="000000"/>
                <w:sz w:val="16"/>
                <w:szCs w:val="16"/>
              </w:rPr>
            </w:pPr>
            <w:r>
              <w:rPr>
                <w:rFonts w:ascii="宋体" w:hAnsi="宋体" w:eastAsia="宋体" w:cs="Arial"/>
                <w:color w:val="000000"/>
                <w:sz w:val="16"/>
                <w:szCs w:val="16"/>
              </w:rPr>
              <w:t xml:space="preserve">   89,544.33 </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Arial"/>
                <w:color w:val="000000"/>
                <w:sz w:val="16"/>
                <w:szCs w:val="16"/>
              </w:rPr>
            </w:pPr>
            <w:r>
              <w:rPr>
                <w:rFonts w:ascii="宋体" w:hAnsi="宋体" w:eastAsia="宋体" w:cs="Arial"/>
                <w:color w:val="000000"/>
                <w:sz w:val="16"/>
                <w:szCs w:val="16"/>
              </w:rPr>
              <w:t xml:space="preserve">   89,539.63 </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Cs/>
                <w:color w:val="000000"/>
                <w:sz w:val="16"/>
                <w:szCs w:val="16"/>
              </w:rPr>
            </w:pPr>
            <w:r>
              <w:rPr>
                <w:rFonts w:hint="eastAsia" w:ascii="宋体" w:hAnsi="宋体" w:eastAsia="宋体" w:cs="Arial"/>
                <w:bCs/>
                <w:color w:val="000000"/>
                <w:sz w:val="16"/>
                <w:szCs w:val="16"/>
              </w:rPr>
              <w:t>4.70</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205</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教育支出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55.76</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55.76</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20508</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进修及培训</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55.76</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55.76</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2050803</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培训支出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55.76</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55.76</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社会保障和就业支出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761.75</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761.75</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20805</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行政事业单位离退休</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761.75</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761.75</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2080505</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机关事业单位基本养老保险缴费支出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694.99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694.99</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2080506</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机关事业单位职业年金缴费支出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66.76</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66.76</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卫生健康支出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679.05</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679.05</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21011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行政事业单位医疗</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679.05</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679.05</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2101101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行政单位医疗</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155.94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155.94</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2101102</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事业单位医疗</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523.11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523.11</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节能环保支出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10,078.00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10,078.00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21103</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污染防治</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10,018.00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10,018.00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2110301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大气</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10,018.00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10,018.00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21199</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其他节能环保支出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60.00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60.00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2119901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其他节能环保支出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60.00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60.00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　</w:t>
            </w: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38,703.79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38,701.56</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2.22</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城乡社区管理事务</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10,171.66</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10,169.44</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2.22</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行政运行</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2,485.58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2,485.58</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2120105</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工程建设标准规范编制与监管</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355.57</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355.55</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0.02</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2120106</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工程建设管理</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1,720.44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1,720.40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0.03</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2120199</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其他城乡社区管理事务支出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5,610.08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5,607.91</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2.17</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21202</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城乡社区规划与管理</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50.00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50.00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2120201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城乡社区规划与管理</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50.00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50.00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21203</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城乡社区公共设施</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186.00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186.00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2120399</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其他城乡社区公共设施支出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186.00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186.00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21205</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城乡社区环境卫生</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2120501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城乡社区环境卫生</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21206</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建设市场管理与监督</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595.68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595.68</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2120601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建设市场管理与监督</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595.68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595.68</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国有土地使用权出让收入及对应专项债务收入安排的支出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3,197.82</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3,197.82</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2120803</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城市建设支出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2,364.88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2,364.88</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2120807</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廉租住房支出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731.00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731.00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2120811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公共租赁住房支出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101.94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101.94</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21299</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其他城乡社区支出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24,209.13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24,209.13</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2129901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2129901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24,209.13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24,209.13</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216</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商业服务业等支出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35.77</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35.77</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21606</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涉外发展服务支出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35.77</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35.77</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2160699</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其他涉外发展服务支出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35.77</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35.77</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住房保障支出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39,230.21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39,227.74</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2.47</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保障性安居工程支出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38,163.00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38,163.00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2210103</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棚户区改造</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1,806.00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1,806.00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2210107</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保障性住房租金补贴</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247.00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247.00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2210199</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其他保障性安居工程支出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36,110.00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36,110.00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22102</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住房改革支出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2210201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住房公积金</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22103</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城乡社区住宅</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643.32</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640.85</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2.47</w:t>
            </w:r>
          </w:p>
        </w:tc>
      </w:tr>
      <w:tr>
        <w:tblPrEx>
          <w:tblLayout w:type="fixed"/>
          <w:tblCellMar>
            <w:top w:w="0" w:type="dxa"/>
            <w:left w:w="0" w:type="dxa"/>
            <w:bottom w:w="0" w:type="dxa"/>
            <w:right w:w="0" w:type="dxa"/>
          </w:tblCellMar>
        </w:tblPrEx>
        <w:trPr>
          <w:trHeight w:val="385"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2210399</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其他城乡社区住宅支出</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643.32</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640.85</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p>
        </w:tc>
        <w:tc>
          <w:tcPr>
            <w:tcW w:w="5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2.47</w:t>
            </w:r>
          </w:p>
        </w:tc>
      </w:tr>
      <w:tr>
        <w:tblPrEx>
          <w:tblLayout w:type="fixed"/>
          <w:tblCellMar>
            <w:top w:w="0" w:type="dxa"/>
            <w:left w:w="0" w:type="dxa"/>
            <w:bottom w:w="0" w:type="dxa"/>
            <w:right w:w="0" w:type="dxa"/>
          </w:tblCellMar>
        </w:tblPrEx>
        <w:trPr>
          <w:trHeight w:val="385" w:hRule="atLeast"/>
          <w:jc w:val="center"/>
        </w:trPr>
        <w:tc>
          <w:tcPr>
            <w:tcW w:w="9583"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8"/>
        <w:tblW w:w="9680" w:type="dxa"/>
        <w:jc w:val="center"/>
        <w:tblInd w:w="0" w:type="dxa"/>
        <w:tblLayout w:type="fixed"/>
        <w:tblCellMar>
          <w:top w:w="0" w:type="dxa"/>
          <w:left w:w="0" w:type="dxa"/>
          <w:bottom w:w="0" w:type="dxa"/>
          <w:right w:w="0" w:type="dxa"/>
        </w:tblCellMar>
      </w:tblPr>
      <w:tblGrid>
        <w:gridCol w:w="941"/>
        <w:gridCol w:w="53"/>
        <w:gridCol w:w="111"/>
        <w:gridCol w:w="2743"/>
        <w:gridCol w:w="1276"/>
        <w:gridCol w:w="992"/>
        <w:gridCol w:w="992"/>
        <w:gridCol w:w="851"/>
        <w:gridCol w:w="709"/>
        <w:gridCol w:w="1012"/>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2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23" w:hRule="atLeast"/>
          <w:jc w:val="center"/>
        </w:trPr>
        <w:tc>
          <w:tcPr>
            <w:tcW w:w="38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27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99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99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7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0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Layout w:type="fixed"/>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7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38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23" w:hRule="atLeast"/>
          <w:jc w:val="center"/>
        </w:trPr>
        <w:tc>
          <w:tcPr>
            <w:tcW w:w="38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Arial"/>
                <w:color w:val="000000"/>
                <w:sz w:val="16"/>
                <w:szCs w:val="16"/>
              </w:rPr>
            </w:pPr>
            <w:r>
              <w:rPr>
                <w:rFonts w:ascii="宋体" w:hAnsi="宋体" w:eastAsia="宋体" w:cs="Arial"/>
                <w:color w:val="000000"/>
                <w:sz w:val="16"/>
                <w:szCs w:val="16"/>
              </w:rPr>
              <w:t xml:space="preserve">   51,394.14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Arial"/>
                <w:color w:val="000000"/>
                <w:sz w:val="16"/>
                <w:szCs w:val="16"/>
              </w:rPr>
            </w:pPr>
            <w:r>
              <w:rPr>
                <w:rFonts w:ascii="宋体" w:hAnsi="宋体" w:eastAsia="宋体" w:cs="Arial"/>
                <w:color w:val="000000"/>
                <w:sz w:val="16"/>
                <w:szCs w:val="16"/>
              </w:rPr>
              <w:t xml:space="preserve">   10,341.69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Arial"/>
                <w:color w:val="000000"/>
                <w:sz w:val="16"/>
                <w:szCs w:val="16"/>
              </w:rPr>
            </w:pPr>
            <w:r>
              <w:rPr>
                <w:rFonts w:ascii="宋体" w:hAnsi="宋体" w:eastAsia="宋体" w:cs="Arial"/>
                <w:color w:val="000000"/>
                <w:sz w:val="16"/>
                <w:szCs w:val="16"/>
              </w:rPr>
              <w:t xml:space="preserve">   41,052.45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205</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教育支出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20508</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进修及培训</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2050803</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培训支出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社会保障和就业支出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616.78</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616.78</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20805</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行政事业单位离退休</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616.78</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616.78</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2080505</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机关事业单位基本养老保险缴费支出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596.03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596.03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2080506</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机关事业单位职业年金缴费支出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20.75</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20.75</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卫生健康支出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663.70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663.70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21011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行政事业单位医疗</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663.70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663.70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2101101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行政单位医疗</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154.37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154.37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2101102</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事业单位医疗</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509.33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509.33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节能环保支出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6,403.79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56.37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6,347.42</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21103</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污染防治</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5,725.87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5,725.87</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2110301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大气</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5,725.87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5,725.87</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21199</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其他节能环保支出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677.92</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56.37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621.55</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2119901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其他节能环保支出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677.92</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56.37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621.55</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34,851.33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7,906.18</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26,945.14</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城乡社区管理事务</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9,230.96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7,158.50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2,072.46</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行政运行</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2,331.11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2,331.11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2120105</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工程建设标准规范编制与监管</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350.54</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350.54</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2120106</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工程建设管理</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1,655.89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1,655.89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2120199</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其他城乡社区管理事务支出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4,893.43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2,820.97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2,072.46</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21202</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城乡社区规划与管理</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41.80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41.80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2120201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城乡社区规划与管理</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41.80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41.80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21203</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城乡社区公共设施</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141.50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40.56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100.94</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2120399</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其他城乡社区公共设施支出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141.50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40.56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100.94</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21205</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城乡社区环境卫生</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2120501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城乡社区环境卫生</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21206</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建设市场管理与监督</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586.66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586.66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2120601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建设市场管理与监督</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586.66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586.66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国有土地使用权出让收入及对应专项债务收入安排的支出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2,855.46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2,855.46</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2120803</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城市建设支出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1,626.55</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1,626.55</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2120807</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廉租住房支出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731.00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731.00</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2120811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公共租赁住房支出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497.91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497.91</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21299</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其他城乡社区支出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21,701.45</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78.66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21,622.79</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2129901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2129901</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21,701.45</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78.66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21,622.79</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216</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商业服务业等支出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21606</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涉外发展服务支出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2160699</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其他涉外发展服务支出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住房保障支出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8,802.73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1,060.96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7,741.77</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保障性安居工程支出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7,741.77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7,741.77</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2210103</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棚户区改造</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1,806.00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1,806.00</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2210107</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保障性住房租金补贴</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182.04</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182.04</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2210199</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其他保障性安居工程支出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5,753.73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5,753.73</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22102</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住房改革支出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2210201</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住房公积金</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22103</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城乡社区住宅</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637.07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637.07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2210399</w:t>
            </w:r>
          </w:p>
        </w:tc>
        <w:tc>
          <w:tcPr>
            <w:tcW w:w="2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其他城乡社区住宅支出</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637.07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637.07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注：本表反映部门本年度各项支出情况。</w:t>
            </w:r>
          </w:p>
        </w:tc>
      </w:tr>
    </w:tbl>
    <w:p>
      <w:r>
        <w:br w:type="page"/>
      </w:r>
    </w:p>
    <w:tbl>
      <w:tblPr>
        <w:tblStyle w:val="8"/>
        <w:tblW w:w="9520" w:type="dxa"/>
        <w:jc w:val="center"/>
        <w:tblInd w:w="0" w:type="dxa"/>
        <w:tblLayout w:type="fixed"/>
        <w:tblCellMar>
          <w:top w:w="0" w:type="dxa"/>
          <w:left w:w="0" w:type="dxa"/>
          <w:bottom w:w="0" w:type="dxa"/>
          <w:right w:w="0" w:type="dxa"/>
        </w:tblCellMar>
      </w:tblPr>
      <w:tblGrid>
        <w:gridCol w:w="2351"/>
        <w:gridCol w:w="425"/>
        <w:gridCol w:w="850"/>
        <w:gridCol w:w="2835"/>
        <w:gridCol w:w="426"/>
        <w:gridCol w:w="992"/>
        <w:gridCol w:w="850"/>
        <w:gridCol w:w="791"/>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3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33"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3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33"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90" w:hRule="atLeast"/>
          <w:jc w:val="center"/>
        </w:trPr>
        <w:tc>
          <w:tcPr>
            <w:tcW w:w="3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     入</w:t>
            </w:r>
          </w:p>
        </w:tc>
        <w:tc>
          <w:tcPr>
            <w:tcW w:w="5894"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     出</w:t>
            </w:r>
          </w:p>
        </w:tc>
      </w:tr>
      <w:tr>
        <w:tblPrEx>
          <w:tblLayout w:type="fixed"/>
          <w:tblCellMar>
            <w:top w:w="0" w:type="dxa"/>
            <w:left w:w="0" w:type="dxa"/>
            <w:bottom w:w="0" w:type="dxa"/>
            <w:right w:w="0" w:type="dxa"/>
          </w:tblCellMar>
        </w:tblPrEx>
        <w:trPr>
          <w:trHeight w:val="312" w:hRule="atLeast"/>
          <w:jc w:val="center"/>
        </w:trPr>
        <w:tc>
          <w:tcPr>
            <w:tcW w:w="23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28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4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7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3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栏次</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86,341.81</w:t>
            </w: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3,197.82</w:t>
            </w: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616.78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616.78</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663.70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663.70</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6,403.79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6,403.79</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34,824.00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31,968.54</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2,855.46</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十八、自然资源海洋气象等支出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8,802.70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8,802.70</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二十一、灾害防治及应急管理支出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89,539.63</w:t>
            </w: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51,366.77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48,511.31</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2,855.46</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13,293.57</w:t>
            </w: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51,466.43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50,727.25</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739.18</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12,896.75</w:t>
            </w: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396.82</w:t>
            </w: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102,833.20</w:t>
            </w:r>
          </w:p>
        </w:tc>
        <w:tc>
          <w:tcPr>
            <w:tcW w:w="2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102,833.20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99,238.56</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3,594.64</w:t>
            </w: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p>
        </w:tc>
      </w:tr>
    </w:tbl>
    <w:p>
      <w:r>
        <w:br w:type="page"/>
      </w:r>
    </w:p>
    <w:tbl>
      <w:tblPr>
        <w:tblStyle w:val="8"/>
        <w:tblW w:w="9990" w:type="dxa"/>
        <w:jc w:val="center"/>
        <w:tblInd w:w="0" w:type="dxa"/>
        <w:tblLayout w:type="fixed"/>
        <w:tblCellMar>
          <w:top w:w="0" w:type="dxa"/>
          <w:left w:w="0" w:type="dxa"/>
          <w:bottom w:w="0" w:type="dxa"/>
          <w:right w:w="0" w:type="dxa"/>
        </w:tblCellMar>
      </w:tblPr>
      <w:tblGrid>
        <w:gridCol w:w="630"/>
        <w:gridCol w:w="36"/>
        <w:gridCol w:w="36"/>
        <w:gridCol w:w="2750"/>
        <w:gridCol w:w="2329"/>
        <w:gridCol w:w="2319"/>
        <w:gridCol w:w="1890"/>
      </w:tblGrid>
      <w:tr>
        <w:tblPrEx>
          <w:tblLayout w:type="fixed"/>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2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0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Layout w:type="fixed"/>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2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0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34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53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312" w:hRule="atLeast"/>
          <w:jc w:val="center"/>
        </w:trPr>
        <w:tc>
          <w:tcPr>
            <w:tcW w:w="7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4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34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right"/>
              <w:rPr>
                <w:rFonts w:ascii="宋体" w:hAnsi="宋体" w:eastAsia="宋体" w:cs="Arial"/>
                <w:color w:val="000000"/>
                <w:sz w:val="16"/>
                <w:szCs w:val="16"/>
              </w:rPr>
            </w:pPr>
            <w:r>
              <w:rPr>
                <w:rFonts w:ascii="宋体" w:hAnsi="宋体" w:eastAsia="宋体" w:cs="Arial"/>
                <w:color w:val="000000"/>
                <w:sz w:val="16"/>
                <w:szCs w:val="16"/>
              </w:rPr>
              <w:t xml:space="preserve">   48,511.31 </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right"/>
              <w:rPr>
                <w:rFonts w:ascii="宋体" w:hAnsi="宋体" w:eastAsia="宋体" w:cs="Arial"/>
                <w:color w:val="000000"/>
                <w:sz w:val="16"/>
                <w:szCs w:val="16"/>
              </w:rPr>
            </w:pPr>
            <w:r>
              <w:rPr>
                <w:rFonts w:ascii="宋体" w:hAnsi="宋体" w:eastAsia="宋体" w:cs="Arial"/>
                <w:color w:val="000000"/>
                <w:sz w:val="16"/>
                <w:szCs w:val="16"/>
              </w:rPr>
              <w:t xml:space="preserve">   10,314.32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right"/>
              <w:rPr>
                <w:rFonts w:ascii="宋体" w:hAnsi="宋体" w:eastAsia="宋体" w:cs="Arial"/>
                <w:color w:val="000000"/>
                <w:sz w:val="16"/>
                <w:szCs w:val="16"/>
              </w:rPr>
            </w:pPr>
            <w:r>
              <w:rPr>
                <w:rFonts w:ascii="宋体" w:hAnsi="宋体" w:eastAsia="宋体" w:cs="Arial"/>
                <w:color w:val="000000"/>
                <w:sz w:val="16"/>
                <w:szCs w:val="16"/>
              </w:rPr>
              <w:t xml:space="preserve">   38,196.99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205</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教育支出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20508</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进修及培训</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2050803</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培训支出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社会保障和就业支出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616.78</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616.78</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20805</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行政事业单位离退休</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616.78</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616.78</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2080505</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机关事业单位基本养老保险缴费支出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596.03</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596.03</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2080506</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机关事业单位职业年金缴费支出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20.75</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20.75</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卫生健康支出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663.70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663.70</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21011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行政事业单位医疗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663.70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663.70</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2101101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行政单位医疗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154.37</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154.37</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2101102</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事业单位医疗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509.33</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509.33</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节能环保支出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6,403.79</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56.37</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6,347.42</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21103</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污染防治</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5,725.87</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5,725.87</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2110301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大气</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5,725.87</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5,725.87</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21199</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其他节能环保支出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677.92</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56.37</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621.55</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2119901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其他节能环保支出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677.92</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56.37</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621.55</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31,968.54</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7,878.86</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24,089.68</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城乡社区管理事务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9,203.63</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7,131.17</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2,072.46</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行政运行</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2,331.11</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2,331.11</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2120105</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工程建设标准规范编制与监管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349.11</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349.11</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2120106</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工程建设管理</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1,655.89</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1,655.89</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2120199</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其他城乡社区管理事务支出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4,867.53</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2,795.07</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2,072.46</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21202</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城乡社区规划与管理</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41.80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41.80</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2120201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城乡社区规划与管理</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41.80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41.80</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21203</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城乡社区公共设施</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141.50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40.56</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100.94</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2120399</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其他城乡社区公共设施支出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141.50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40.56</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100.94</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21205</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城乡社区环境卫生</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2120501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城乡社区环境卫生</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293.50</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21206</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建设市场管理与监督</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586.66</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586.66</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2120601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建设市场管理与监督</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586.66</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586.66</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21299</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其他城乡社区支出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21,701.45</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78.66</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21,622.79</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2129901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2129901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21,701.45</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78.66</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21,622.79</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216</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商业服务业等支出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21606</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涉外发展服务支出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2160699</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其他涉外发展服务支出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18.11</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住房保障支出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8,802.70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1,060.93</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7,741.77</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保障性安居工程支出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7,741.77</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7,741.77</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2210103</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棚户区改造</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1,806.00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1,806.00</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2210107</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保障性住房租金补贴</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182.04</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182.04</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2210199</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其他保障性安居工程支出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5,753.73</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5,753.73</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22102</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住房改革支出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2210201</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住房公积金</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22103</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城乡社区住宅</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637.04</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637.04</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2210399</w:t>
            </w:r>
          </w:p>
        </w:tc>
        <w:tc>
          <w:tcPr>
            <w:tcW w:w="2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其他城乡社区住宅支出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637.04</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637.04</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bl>
    <w:p>
      <w:r>
        <w:br w:type="page"/>
      </w:r>
    </w:p>
    <w:tbl>
      <w:tblPr>
        <w:tblStyle w:val="8"/>
        <w:tblW w:w="10000" w:type="dxa"/>
        <w:jc w:val="center"/>
        <w:tblInd w:w="0" w:type="dxa"/>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6,714.33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1,877.35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1,927.20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110.51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753.19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33.87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708.56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215.14</w:t>
            </w: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1,439.23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26.96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153.35</w:t>
            </w: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596.03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102.14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16.98</w:t>
            </w: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20.75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78.50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335.55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92.80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328.74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55.25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44.80</w:t>
            </w: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43.33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57.38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423.89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183.42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137.88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71.72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1,507.51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2.63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87.83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37.69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572.97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1.71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52.65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1.47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3.18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57.64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265.12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35.95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2.71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39.04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41.17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839.35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87.70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440.49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8,221.84</w:t>
            </w:r>
          </w:p>
          <w:p>
            <w:pPr>
              <w:spacing w:line="220" w:lineRule="exact"/>
              <w:jc w:val="right"/>
              <w:rPr>
                <w:rFonts w:ascii="宋体" w:hAnsi="宋体" w:eastAsia="宋体" w:cs="宋体"/>
                <w:color w:val="000000"/>
                <w:sz w:val="20"/>
                <w:szCs w:val="20"/>
              </w:rPr>
            </w:pP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2,092.48</w:t>
            </w:r>
          </w:p>
          <w:p>
            <w:pPr>
              <w:spacing w:line="180" w:lineRule="exact"/>
              <w:jc w:val="right"/>
              <w:rPr>
                <w:rFonts w:ascii="宋体" w:hAnsi="宋体" w:eastAsia="宋体" w:cs="宋体"/>
                <w:color w:val="000000"/>
                <w:sz w:val="20"/>
                <w:szCs w:val="20"/>
              </w:rPr>
            </w:pPr>
          </w:p>
        </w:tc>
      </w:tr>
    </w:tbl>
    <w:p>
      <w:r>
        <w:br w:type="page"/>
      </w:r>
    </w:p>
    <w:tbl>
      <w:tblPr>
        <w:tblStyle w:val="8"/>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22"/>
                <w:lang w:val="en-US" w:eastAsia="zh-CN"/>
              </w:rPr>
            </w:pPr>
            <w:r>
              <w:rPr>
                <w:rFonts w:hint="eastAsia" w:ascii="宋体" w:hAnsi="宋体" w:eastAsia="宋体" w:cs="Arial"/>
                <w:color w:val="000000"/>
                <w:sz w:val="22"/>
              </w:rPr>
              <w:t>12</w:t>
            </w:r>
            <w:r>
              <w:rPr>
                <w:rFonts w:hint="eastAsia" w:ascii="宋体" w:hAnsi="宋体" w:eastAsia="宋体" w:cs="Arial"/>
                <w:color w:val="000000"/>
                <w:sz w:val="22"/>
                <w:lang w:val="en-US" w:eastAsia="zh-CN"/>
              </w:rPr>
              <w:t>5.1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35.77</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83.44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0.00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83.44</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5.89</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22"/>
              </w:rPr>
            </w:pPr>
            <w:r>
              <w:rPr>
                <w:rFonts w:hint="eastAsia" w:ascii="宋体" w:hAnsi="宋体" w:eastAsia="宋体" w:cs="Arial"/>
                <w:color w:val="000000"/>
                <w:sz w:val="22"/>
              </w:rPr>
              <w:t>61.00</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22"/>
              </w:rPr>
            </w:pPr>
            <w:r>
              <w:rPr>
                <w:rFonts w:hint="eastAsia" w:ascii="宋体" w:hAnsi="宋体" w:eastAsia="宋体" w:cs="Arial"/>
                <w:color w:val="000000"/>
                <w:sz w:val="22"/>
              </w:rPr>
              <w:t>18.11</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22"/>
              </w:rPr>
            </w:pPr>
            <w:r>
              <w:rPr>
                <w:rFonts w:hint="eastAsia" w:ascii="宋体" w:hAnsi="宋体" w:eastAsia="宋体" w:cs="Arial"/>
                <w:color w:val="000000"/>
                <w:sz w:val="22"/>
              </w:rPr>
              <w:t>41.17</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22"/>
              </w:rPr>
            </w:pPr>
            <w:r>
              <w:rPr>
                <w:rFonts w:hint="eastAsia" w:ascii="宋体" w:hAnsi="宋体" w:eastAsia="宋体" w:cs="Arial"/>
                <w:color w:val="000000"/>
                <w:sz w:val="22"/>
              </w:rPr>
              <w:t>0.00</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22"/>
              </w:rPr>
            </w:pPr>
            <w:r>
              <w:rPr>
                <w:rFonts w:hint="eastAsia" w:ascii="宋体" w:hAnsi="宋体" w:eastAsia="宋体" w:cs="Arial"/>
                <w:color w:val="000000"/>
                <w:sz w:val="22"/>
              </w:rPr>
              <w:t>41.17</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22"/>
              </w:rPr>
            </w:pPr>
            <w:r>
              <w:rPr>
                <w:rFonts w:hint="eastAsia" w:ascii="宋体" w:hAnsi="宋体" w:eastAsia="宋体" w:cs="Arial"/>
                <w:color w:val="000000"/>
                <w:sz w:val="22"/>
              </w:rPr>
              <w:t>1.71</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8"/>
        <w:tblW w:w="9595" w:type="dxa"/>
        <w:jc w:val="center"/>
        <w:tblInd w:w="0" w:type="dxa"/>
        <w:tblLayout w:type="fixed"/>
        <w:tblCellMar>
          <w:top w:w="0" w:type="dxa"/>
          <w:left w:w="0" w:type="dxa"/>
          <w:bottom w:w="0" w:type="dxa"/>
          <w:right w:w="0" w:type="dxa"/>
        </w:tblCellMar>
      </w:tblPr>
      <w:tblGrid>
        <w:gridCol w:w="630"/>
        <w:gridCol w:w="36"/>
        <w:gridCol w:w="36"/>
        <w:gridCol w:w="4030"/>
        <w:gridCol w:w="980"/>
        <w:gridCol w:w="889"/>
        <w:gridCol w:w="813"/>
        <w:gridCol w:w="750"/>
        <w:gridCol w:w="748"/>
        <w:gridCol w:w="683"/>
      </w:tblGrid>
      <w:tr>
        <w:tblPrEx>
          <w:tblLayout w:type="fixed"/>
          <w:tblCellMar>
            <w:top w:w="0" w:type="dxa"/>
            <w:left w:w="0" w:type="dxa"/>
            <w:bottom w:w="0" w:type="dxa"/>
            <w:right w:w="0" w:type="dxa"/>
          </w:tblCellMar>
        </w:tblPrEx>
        <w:trPr>
          <w:trHeight w:val="780" w:hRule="atLeast"/>
          <w:jc w:val="center"/>
        </w:trPr>
        <w:tc>
          <w:tcPr>
            <w:tcW w:w="9595"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8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Layout w:type="fixed"/>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8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47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9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8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231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68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Layout w:type="fixed"/>
          <w:tblCellMar>
            <w:top w:w="0" w:type="dxa"/>
            <w:left w:w="0" w:type="dxa"/>
            <w:bottom w:w="0" w:type="dxa"/>
            <w:right w:w="0" w:type="dxa"/>
          </w:tblCellMar>
        </w:tblPrEx>
        <w:trPr>
          <w:trHeight w:val="312" w:hRule="atLeast"/>
          <w:jc w:val="center"/>
        </w:trPr>
        <w:tc>
          <w:tcPr>
            <w:tcW w:w="7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4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7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6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473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08" w:hRule="atLeast"/>
          <w:jc w:val="center"/>
        </w:trPr>
        <w:tc>
          <w:tcPr>
            <w:tcW w:w="473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Cs/>
                <w:color w:val="000000"/>
                <w:sz w:val="16"/>
                <w:szCs w:val="16"/>
              </w:rPr>
            </w:pPr>
            <w:r>
              <w:rPr>
                <w:rFonts w:hint="eastAsia" w:ascii="宋体" w:hAnsi="宋体" w:eastAsia="宋体" w:cs="Arial"/>
                <w:bCs/>
                <w:color w:val="000000"/>
                <w:sz w:val="16"/>
                <w:szCs w:val="16"/>
              </w:rPr>
              <w:t>396.82</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Cs/>
                <w:color w:val="000000"/>
                <w:sz w:val="16"/>
                <w:szCs w:val="16"/>
              </w:rPr>
            </w:pPr>
            <w:r>
              <w:rPr>
                <w:rFonts w:hint="eastAsia" w:ascii="宋体" w:hAnsi="宋体" w:eastAsia="宋体" w:cs="Arial"/>
                <w:bCs/>
                <w:color w:val="000000"/>
                <w:sz w:val="16"/>
                <w:szCs w:val="16"/>
              </w:rPr>
              <w:t>3,197.82</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Cs/>
                <w:color w:val="000000"/>
                <w:sz w:val="16"/>
                <w:szCs w:val="16"/>
              </w:rPr>
            </w:pPr>
            <w:r>
              <w:rPr>
                <w:rFonts w:hint="eastAsia" w:ascii="宋体" w:hAnsi="宋体" w:eastAsia="宋体" w:cs="Arial"/>
                <w:bCs/>
                <w:color w:val="000000"/>
                <w:sz w:val="16"/>
                <w:szCs w:val="16"/>
              </w:rPr>
              <w:t>2,855.46</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Cs/>
                <w:color w:val="000000"/>
                <w:sz w:val="16"/>
                <w:szCs w:val="16"/>
              </w:rPr>
            </w:pP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Cs/>
                <w:color w:val="000000"/>
                <w:sz w:val="16"/>
                <w:szCs w:val="16"/>
              </w:rPr>
            </w:pPr>
            <w:r>
              <w:rPr>
                <w:rFonts w:hint="eastAsia" w:ascii="宋体" w:hAnsi="宋体" w:eastAsia="宋体" w:cs="Arial"/>
                <w:bCs/>
                <w:color w:val="000000"/>
                <w:sz w:val="16"/>
                <w:szCs w:val="16"/>
              </w:rPr>
              <w:t>2,855.46</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bCs/>
                <w:color w:val="000000"/>
                <w:sz w:val="16"/>
                <w:szCs w:val="16"/>
              </w:rPr>
            </w:pPr>
            <w:r>
              <w:rPr>
                <w:rFonts w:hint="eastAsia" w:ascii="宋体" w:hAnsi="宋体" w:eastAsia="宋体" w:cs="Arial"/>
                <w:bCs/>
                <w:color w:val="000000"/>
                <w:sz w:val="16"/>
                <w:szCs w:val="16"/>
              </w:rPr>
              <w:t>739.18</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城乡社区支出</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396.82</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3,197.82</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2,855.46</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2,855.46</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739.18</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国有土地使用权出让收入及对应专项债务收入安排的支出</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396.82</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3,197.82</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2,855.46</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2,855.46</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739.18</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2120803</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城市建设支出</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2,364.88</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1,626.55</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1,626.55</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738.33</w:t>
            </w: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2120807</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廉租住房支出</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731.00</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731.00</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731.00</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r>
      <w:tr>
        <w:tblPrEx>
          <w:tblLayout w:type="fixed"/>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2120811</w:t>
            </w:r>
          </w:p>
        </w:tc>
        <w:tc>
          <w:tcPr>
            <w:tcW w:w="4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Arial"/>
                <w:color w:val="000000"/>
                <w:sz w:val="16"/>
                <w:szCs w:val="16"/>
              </w:rPr>
            </w:pPr>
            <w:r>
              <w:rPr>
                <w:rFonts w:hint="eastAsia" w:ascii="宋体" w:hAnsi="宋体" w:eastAsia="宋体" w:cs="Arial"/>
                <w:color w:val="000000"/>
                <w:sz w:val="16"/>
                <w:szCs w:val="16"/>
              </w:rPr>
              <w:t xml:space="preserve">  公共租赁住房支出</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396.82</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101.94</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497.91</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497.91</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Arial"/>
                <w:color w:val="000000"/>
                <w:sz w:val="16"/>
                <w:szCs w:val="16"/>
              </w:rPr>
            </w:pPr>
            <w:r>
              <w:rPr>
                <w:rFonts w:hint="eastAsia" w:ascii="宋体" w:hAnsi="宋体" w:eastAsia="宋体" w:cs="Arial"/>
                <w:color w:val="000000"/>
                <w:sz w:val="16"/>
                <w:szCs w:val="16"/>
              </w:rPr>
              <w:t>0.85</w:t>
            </w:r>
          </w:p>
        </w:tc>
      </w:tr>
    </w:tbl>
    <w:p>
      <w:r>
        <w:br w:type="page"/>
      </w:r>
    </w:p>
    <w:tbl>
      <w:tblPr>
        <w:tblStyle w:val="8"/>
        <w:tblW w:w="9915" w:type="dxa"/>
        <w:jc w:val="center"/>
        <w:tblInd w:w="0" w:type="dxa"/>
        <w:tblLayout w:type="fixed"/>
        <w:tblCellMar>
          <w:top w:w="0" w:type="dxa"/>
          <w:left w:w="0" w:type="dxa"/>
          <w:bottom w:w="0" w:type="dxa"/>
          <w:right w:w="0" w:type="dxa"/>
        </w:tblCellMar>
      </w:tblPr>
      <w:tblGrid>
        <w:gridCol w:w="1288"/>
        <w:gridCol w:w="74"/>
        <w:gridCol w:w="74"/>
        <w:gridCol w:w="3798"/>
        <w:gridCol w:w="961"/>
        <w:gridCol w:w="1860"/>
        <w:gridCol w:w="1860"/>
      </w:tblGrid>
      <w:tr>
        <w:tblPrEx>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jc w:val="left"/>
      </w:pPr>
    </w:p>
    <w:p>
      <w:pPr>
        <w:jc w:val="left"/>
      </w:pPr>
      <w:r>
        <w:rPr>
          <w:rFonts w:hint="eastAsia"/>
        </w:rPr>
        <w:t>注：本表反映部门本年度国有资本经营预算财政拨款支出情况。本部门本年度无相关支出情况，按要求以空表列示。</w:t>
      </w:r>
      <w:r>
        <w:br w:type="page"/>
      </w:r>
      <w:r>
        <w:rPr>
          <w:rFonts w:hint="eastAsia"/>
        </w:rPr>
        <w:t>123</w:t>
      </w:r>
    </w:p>
    <w:p>
      <w:pPr>
        <w:jc w:val="left"/>
      </w:pPr>
    </w:p>
    <w:p>
      <w:r>
        <mc:AlternateContent>
          <mc:Choice Requires="wps">
            <w:drawing>
              <wp:anchor distT="0" distB="0" distL="114300" distR="114300" simplePos="0" relativeHeight="437282816"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43728281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2098" w:right="1474" w:bottom="1985" w:left="1588"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altName w:val="MS UI Gothic"/>
    <w:panose1 w:val="020B0700000000000000"/>
    <w:charset w:val="80"/>
    <w:family w:val="swiss"/>
    <w:pitch w:val="default"/>
    <w:sig w:usb0="00000000" w:usb1="00000000" w:usb2="00000016" w:usb3="00000000" w:csb0="0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华文仿宋">
    <w:altName w:val="仿宋"/>
    <w:panose1 w:val="00000000000000000000"/>
    <w:charset w:val="86"/>
    <w:family w:val="swiss"/>
    <w:pitch w:val="default"/>
    <w:sig w:usb0="00000000" w:usb1="00000000" w:usb2="00000000" w:usb3="00000000" w:csb0="0000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Dotum">
    <w:panose1 w:val="020B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- 31 -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- 31 -</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- 36 -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- 36 -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- 32 -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- 32 -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- 52 -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- 52 -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5F222FFA"/>
    <w:multiLevelType w:val="singleLevel"/>
    <w:tmpl w:val="5F222FFA"/>
    <w:lvl w:ilvl="0" w:tentative="0">
      <w:start w:val="1"/>
      <w:numFmt w:val="decimal"/>
      <w:suff w:val="nothing"/>
      <w:lvlText w:val="（%1）"/>
      <w:lvlJc w:val="left"/>
    </w:lvl>
  </w:abstractNum>
  <w:abstractNum w:abstractNumId="3">
    <w:nsid w:val="78C1413D"/>
    <w:multiLevelType w:val="singleLevel"/>
    <w:tmpl w:val="78C1413D"/>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32FE8"/>
    <w:rsid w:val="00051C22"/>
    <w:rsid w:val="000568A9"/>
    <w:rsid w:val="00057D3C"/>
    <w:rsid w:val="0007063E"/>
    <w:rsid w:val="00073392"/>
    <w:rsid w:val="00073F4E"/>
    <w:rsid w:val="00086C89"/>
    <w:rsid w:val="000A39FB"/>
    <w:rsid w:val="00114ACD"/>
    <w:rsid w:val="00117610"/>
    <w:rsid w:val="00117746"/>
    <w:rsid w:val="00163F95"/>
    <w:rsid w:val="00180A9A"/>
    <w:rsid w:val="001829C0"/>
    <w:rsid w:val="00184809"/>
    <w:rsid w:val="00192112"/>
    <w:rsid w:val="001B0127"/>
    <w:rsid w:val="001C12D5"/>
    <w:rsid w:val="001C69F7"/>
    <w:rsid w:val="001E156A"/>
    <w:rsid w:val="00206A7B"/>
    <w:rsid w:val="00216D89"/>
    <w:rsid w:val="00233EBB"/>
    <w:rsid w:val="002650EC"/>
    <w:rsid w:val="00270646"/>
    <w:rsid w:val="00293855"/>
    <w:rsid w:val="002A09C3"/>
    <w:rsid w:val="002A6C46"/>
    <w:rsid w:val="002B4288"/>
    <w:rsid w:val="002C19B5"/>
    <w:rsid w:val="002E7D08"/>
    <w:rsid w:val="0030081C"/>
    <w:rsid w:val="00335E62"/>
    <w:rsid w:val="0036027C"/>
    <w:rsid w:val="00381B12"/>
    <w:rsid w:val="003A4EE8"/>
    <w:rsid w:val="00442CC2"/>
    <w:rsid w:val="00446244"/>
    <w:rsid w:val="0045265A"/>
    <w:rsid w:val="00473C20"/>
    <w:rsid w:val="004D61CB"/>
    <w:rsid w:val="004F5492"/>
    <w:rsid w:val="005011D6"/>
    <w:rsid w:val="00503F2E"/>
    <w:rsid w:val="00505D4C"/>
    <w:rsid w:val="00552226"/>
    <w:rsid w:val="0055647F"/>
    <w:rsid w:val="00566120"/>
    <w:rsid w:val="005814EE"/>
    <w:rsid w:val="00582E6D"/>
    <w:rsid w:val="00592DA1"/>
    <w:rsid w:val="005954D5"/>
    <w:rsid w:val="00597DD0"/>
    <w:rsid w:val="005A53FA"/>
    <w:rsid w:val="005B02BE"/>
    <w:rsid w:val="005C117C"/>
    <w:rsid w:val="005D0DC0"/>
    <w:rsid w:val="005D1293"/>
    <w:rsid w:val="005E5867"/>
    <w:rsid w:val="005F1D07"/>
    <w:rsid w:val="00644D5F"/>
    <w:rsid w:val="00672520"/>
    <w:rsid w:val="006727AD"/>
    <w:rsid w:val="00691425"/>
    <w:rsid w:val="00694037"/>
    <w:rsid w:val="006A516E"/>
    <w:rsid w:val="006B0830"/>
    <w:rsid w:val="006B77F7"/>
    <w:rsid w:val="006D6D3B"/>
    <w:rsid w:val="006E2BD6"/>
    <w:rsid w:val="00716E2B"/>
    <w:rsid w:val="00770F18"/>
    <w:rsid w:val="00773B74"/>
    <w:rsid w:val="0078290C"/>
    <w:rsid w:val="007B5665"/>
    <w:rsid w:val="007C06CA"/>
    <w:rsid w:val="008163FB"/>
    <w:rsid w:val="0082605B"/>
    <w:rsid w:val="00843714"/>
    <w:rsid w:val="00855C36"/>
    <w:rsid w:val="00857DBE"/>
    <w:rsid w:val="008701BC"/>
    <w:rsid w:val="00883D92"/>
    <w:rsid w:val="00887D4E"/>
    <w:rsid w:val="00892583"/>
    <w:rsid w:val="00892E52"/>
    <w:rsid w:val="008A5362"/>
    <w:rsid w:val="008F21F1"/>
    <w:rsid w:val="008F221B"/>
    <w:rsid w:val="008F45BF"/>
    <w:rsid w:val="008F5A2D"/>
    <w:rsid w:val="00921602"/>
    <w:rsid w:val="00957EA1"/>
    <w:rsid w:val="0096632B"/>
    <w:rsid w:val="00966E5B"/>
    <w:rsid w:val="009A115F"/>
    <w:rsid w:val="009B23BB"/>
    <w:rsid w:val="009B4EF0"/>
    <w:rsid w:val="009D271F"/>
    <w:rsid w:val="00A56498"/>
    <w:rsid w:val="00A929C2"/>
    <w:rsid w:val="00AC6ABC"/>
    <w:rsid w:val="00AD097F"/>
    <w:rsid w:val="00AE69F8"/>
    <w:rsid w:val="00B11845"/>
    <w:rsid w:val="00B11CF4"/>
    <w:rsid w:val="00B23B14"/>
    <w:rsid w:val="00B844F4"/>
    <w:rsid w:val="00B90969"/>
    <w:rsid w:val="00BA06A1"/>
    <w:rsid w:val="00BA770A"/>
    <w:rsid w:val="00BB6932"/>
    <w:rsid w:val="00BE0952"/>
    <w:rsid w:val="00C054DE"/>
    <w:rsid w:val="00C34F80"/>
    <w:rsid w:val="00C5430E"/>
    <w:rsid w:val="00C679A9"/>
    <w:rsid w:val="00C67E23"/>
    <w:rsid w:val="00C7541C"/>
    <w:rsid w:val="00CC0FAA"/>
    <w:rsid w:val="00CC7C44"/>
    <w:rsid w:val="00CD0736"/>
    <w:rsid w:val="00CD5EFD"/>
    <w:rsid w:val="00CD6383"/>
    <w:rsid w:val="00D1570F"/>
    <w:rsid w:val="00D32830"/>
    <w:rsid w:val="00DA557E"/>
    <w:rsid w:val="00DB7153"/>
    <w:rsid w:val="00DB7F05"/>
    <w:rsid w:val="00DF6332"/>
    <w:rsid w:val="00E028C3"/>
    <w:rsid w:val="00E14F77"/>
    <w:rsid w:val="00E242FC"/>
    <w:rsid w:val="00E3076B"/>
    <w:rsid w:val="00E36978"/>
    <w:rsid w:val="00E4553A"/>
    <w:rsid w:val="00E82A1E"/>
    <w:rsid w:val="00EA0DDD"/>
    <w:rsid w:val="00EC06F4"/>
    <w:rsid w:val="00EC3FD5"/>
    <w:rsid w:val="00EE4E36"/>
    <w:rsid w:val="00F01A81"/>
    <w:rsid w:val="00F20CE4"/>
    <w:rsid w:val="00F3537D"/>
    <w:rsid w:val="00F532C2"/>
    <w:rsid w:val="00F647F2"/>
    <w:rsid w:val="00F665F4"/>
    <w:rsid w:val="00FA7022"/>
    <w:rsid w:val="00FC7817"/>
    <w:rsid w:val="00FD225F"/>
    <w:rsid w:val="00FE256C"/>
    <w:rsid w:val="06BE23BB"/>
    <w:rsid w:val="0A866276"/>
    <w:rsid w:val="1D303D97"/>
    <w:rsid w:val="2949018B"/>
    <w:rsid w:val="2A7C5EDD"/>
    <w:rsid w:val="2D967914"/>
    <w:rsid w:val="31C2036A"/>
    <w:rsid w:val="320D02A5"/>
    <w:rsid w:val="348E566F"/>
    <w:rsid w:val="3A226944"/>
    <w:rsid w:val="3AEE6A48"/>
    <w:rsid w:val="3C1620AA"/>
    <w:rsid w:val="3D8F080F"/>
    <w:rsid w:val="44CE1FA4"/>
    <w:rsid w:val="487F73ED"/>
    <w:rsid w:val="4A347EAE"/>
    <w:rsid w:val="52600405"/>
    <w:rsid w:val="529B4319"/>
    <w:rsid w:val="54973AFB"/>
    <w:rsid w:val="57773DD6"/>
    <w:rsid w:val="578B79AB"/>
    <w:rsid w:val="5AE03636"/>
    <w:rsid w:val="5C6C6DC8"/>
    <w:rsid w:val="5CCD3FD5"/>
    <w:rsid w:val="61FA5F9D"/>
    <w:rsid w:val="64CD6910"/>
    <w:rsid w:val="6789158D"/>
    <w:rsid w:val="67D81BA4"/>
    <w:rsid w:val="6AAF1C96"/>
    <w:rsid w:val="6C91001D"/>
    <w:rsid w:val="75681757"/>
    <w:rsid w:val="75A346A8"/>
    <w:rsid w:val="792672A3"/>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脚 Char"/>
    <w:basedOn w:val="7"/>
    <w:link w:val="5"/>
    <w:qFormat/>
    <w:uiPriority w:val="99"/>
    <w:rPr>
      <w:sz w:val="18"/>
      <w:szCs w:val="18"/>
    </w:rPr>
  </w:style>
  <w:style w:type="character" w:customStyle="1" w:styleId="11">
    <w:name w:val="页眉 Char"/>
    <w:basedOn w:val="7"/>
    <w:link w:val="6"/>
    <w:qFormat/>
    <w:uiPriority w:val="99"/>
    <w:rPr>
      <w:rFonts w:asciiTheme="minorHAnsi" w:hAnsiTheme="minorHAnsi" w:eastAsiaTheme="minorEastAsia"/>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7"/>
    <w:link w:val="4"/>
    <w:semiHidden/>
    <w:qFormat/>
    <w:uiPriority w:val="99"/>
    <w:rPr>
      <w:rFonts w:asciiTheme="minorHAnsi" w:hAnsiTheme="minorHAnsi" w:eastAsiaTheme="minorEastAsia" w:cstheme="minorBidi"/>
      <w:kern w:val="2"/>
      <w:sz w:val="18"/>
      <w:szCs w:val="18"/>
    </w:rPr>
  </w:style>
  <w:style w:type="character" w:customStyle="1" w:styleId="14">
    <w:name w:val="NormalCharacter"/>
    <w:semiHidden/>
    <w:qFormat/>
    <w:uiPriority w:val="0"/>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8">
    <w:name w:val="font8"/>
    <w:basedOn w:val="1"/>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9">
    <w:name w:val="xl66"/>
    <w:basedOn w:val="1"/>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20">
    <w:name w:val="xl67"/>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21">
    <w:name w:val="xl68"/>
    <w:basedOn w:val="1"/>
    <w:qFormat/>
    <w:uiPriority w:val="0"/>
    <w:pPr>
      <w:widowControl/>
      <w:spacing w:before="100" w:beforeAutospacing="1" w:after="100" w:afterAutospacing="1"/>
      <w:jc w:val="center"/>
      <w:textAlignment w:val="bottom"/>
    </w:pPr>
    <w:rPr>
      <w:rFonts w:ascii="宋体" w:hAnsi="宋体" w:eastAsia="宋体" w:cs="宋体"/>
      <w:kern w:val="0"/>
      <w:sz w:val="24"/>
      <w:szCs w:val="24"/>
    </w:rPr>
  </w:style>
  <w:style w:type="paragraph" w:customStyle="1" w:styleId="22">
    <w:name w:val="xl69"/>
    <w:basedOn w:val="1"/>
    <w:qFormat/>
    <w:uiPriority w:val="0"/>
    <w:pPr>
      <w:widowControl/>
      <w:spacing w:before="100" w:beforeAutospacing="1" w:after="100" w:afterAutospacing="1"/>
      <w:jc w:val="left"/>
      <w:textAlignment w:val="bottom"/>
    </w:pPr>
    <w:rPr>
      <w:rFonts w:ascii="宋体" w:hAnsi="宋体" w:eastAsia="宋体" w:cs="宋体"/>
      <w:b/>
      <w:bCs/>
      <w:kern w:val="0"/>
      <w:sz w:val="24"/>
      <w:szCs w:val="24"/>
    </w:rPr>
  </w:style>
  <w:style w:type="paragraph" w:customStyle="1" w:styleId="23">
    <w:name w:val="xl70"/>
    <w:basedOn w:val="1"/>
    <w:qFormat/>
    <w:uiPriority w:val="0"/>
    <w:pPr>
      <w:widowControl/>
      <w:spacing w:before="100" w:beforeAutospacing="1" w:after="100" w:afterAutospacing="1"/>
      <w:jc w:val="left"/>
      <w:textAlignment w:val="bottom"/>
    </w:pPr>
    <w:rPr>
      <w:rFonts w:ascii="宋体" w:hAnsi="宋体" w:eastAsia="宋体" w:cs="宋体"/>
      <w:kern w:val="0"/>
      <w:sz w:val="20"/>
      <w:szCs w:val="20"/>
    </w:rPr>
  </w:style>
  <w:style w:type="paragraph" w:customStyle="1" w:styleId="2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3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3">
    <w:name w:val="xl8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3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3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16"/>
      <w:szCs w:val="16"/>
    </w:rPr>
  </w:style>
  <w:style w:type="paragraph" w:customStyle="1" w:styleId="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16"/>
      <w:szCs w:val="16"/>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4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5">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4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6"/>
      <w:szCs w:val="16"/>
    </w:rPr>
  </w:style>
  <w:style w:type="paragraph" w:customStyle="1" w:styleId="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chart" Target="charts/chart3.xml"/><Relationship Id="rId27" Type="http://schemas.openxmlformats.org/officeDocument/2006/relationships/chart" Target="charts/chart2.xml"/><Relationship Id="rId26" Type="http://schemas.openxmlformats.org/officeDocument/2006/relationships/chart" Target="charts/chart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latin typeface="仿宋" panose="02010609060101010101" pitchFamily="3" charset="-122"/>
                <a:ea typeface="仿宋" panose="02010609060101010101" pitchFamily="3" charset="-122"/>
              </a:rPr>
              <a:t>收入构成情况</a:t>
            </a:r>
            <a:endParaRPr lang="zh-CN" altLang="en-US" sz="1400" b="0">
              <a:latin typeface="仿宋" panose="02010609060101010101" pitchFamily="3" charset="-122"/>
              <a:ea typeface="仿宋" panose="02010609060101010101" pitchFamily="3" charset="-122"/>
            </a:endParaRPr>
          </a:p>
        </c:rich>
      </c:tx>
      <c:layout/>
      <c:overlay val="0"/>
    </c:title>
    <c:autoTitleDeleted val="0"/>
    <c:plotArea>
      <c:layout/>
      <c:pieChart>
        <c:varyColors val="1"/>
        <c:ser>
          <c:idx val="0"/>
          <c:order val="0"/>
          <c:tx>
            <c:strRef>
              <c:f>Sheet1!$B$1</c:f>
              <c:strCache>
                <c:ptCount val="1"/>
                <c:pt idx="0">
                  <c:v>收入构成情况</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a:t>
                    </a:r>
                    <a:r>
                      <a:rPr lang="en-US" altLang="zh-CN"/>
                      <a:t>99.99</a:t>
                    </a:r>
                    <a:r>
                      <a:rPr lang="en-US" altLang="en-US"/>
                      <a:t>%</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0469538529905984"/>
                  <c:y val="0.041013038692744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a:t>
                    </a:r>
                    <a:r>
                      <a:rPr lang="en-US" altLang="zh-CN"/>
                      <a:t>0.01%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其他收入</c:v>
                </c:pt>
              </c:strCache>
            </c:strRef>
          </c:cat>
          <c:val>
            <c:numRef>
              <c:f>Sheet1!$B$2:$B$3</c:f>
              <c:numCache>
                <c:formatCode>General</c:formatCode>
                <c:ptCount val="2"/>
                <c:pt idx="0">
                  <c:v>89539.63</c:v>
                </c:pt>
                <c:pt idx="1">
                  <c:v>4.7</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b="0">
                <a:latin typeface="仿宋" panose="02010609060101010101" pitchFamily="3" charset="-122"/>
                <a:ea typeface="仿宋" panose="02010609060101010101" pitchFamily="3" charset="-122"/>
              </a:rPr>
              <a:t>支出构成情况（按支出性质）</a:t>
            </a:r>
            <a:endParaRPr lang="zh-CN" altLang="en-US" sz="1600" b="0">
              <a:latin typeface="仿宋" panose="02010609060101010101" pitchFamily="3" charset="-122"/>
              <a:ea typeface="仿宋" panose="02010609060101010101" pitchFamily="3" charset="-122"/>
            </a:endParaRPr>
          </a:p>
        </c:rich>
      </c:tx>
      <c:layout/>
      <c:overlay val="0"/>
    </c:title>
    <c:autoTitleDeleted val="0"/>
    <c:plotArea>
      <c:layout/>
      <c:pieChart>
        <c:varyColors val="1"/>
        <c:ser>
          <c:idx val="0"/>
          <c:order val="0"/>
          <c:tx>
            <c:strRef>
              <c:f>Sheet1!$B$1</c:f>
              <c:strCache>
                <c:ptCount val="1"/>
                <c:pt idx="0">
                  <c:v>支出构成情况（按支出性质）</c:v>
                </c:pt>
              </c:strCache>
            </c:strRef>
          </c:tx>
          <c:explosion val="0"/>
          <c:dPt>
            <c:idx val="0"/>
            <c:bubble3D val="0"/>
          </c:dPt>
          <c:dPt>
            <c:idx val="1"/>
            <c:bubble3D val="0"/>
          </c:dPt>
          <c:dLbls>
            <c:dLbl>
              <c:idx val="0"/>
              <c:layout>
                <c:manualLayout>
                  <c:x val="-0.110458063371449"/>
                  <c:y val="0.11223701019673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20.12%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49162368689928"/>
                  <c:y val="-0.25870020672194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79.88</a:t>
                    </a:r>
                    <a:r>
                      <a:rPr lang="en-US" altLang="en-US"/>
                      <a:t>%</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Sheet1!$B$2:$B$3</c:f>
              <c:numCache>
                <c:formatCode>General</c:formatCode>
                <c:ptCount val="2"/>
                <c:pt idx="0">
                  <c:v>10341.69</c:v>
                </c:pt>
                <c:pt idx="1">
                  <c:v>41052.45</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b="0">
                <a:latin typeface="华文仿宋" pitchFamily="2" charset="-122"/>
                <a:ea typeface="华文仿宋" pitchFamily="2" charset="-122"/>
              </a:rPr>
              <a:t>财政拨款支出决算结构（按功能分类）</a:t>
            </a:r>
            <a:endParaRPr lang="zh-CN" altLang="en-US" sz="1600" b="0">
              <a:latin typeface="华文仿宋" pitchFamily="2" charset="-122"/>
              <a:ea typeface="华文仿宋" pitchFamily="2" charset="-122"/>
            </a:endParaRPr>
          </a:p>
        </c:rich>
      </c:tx>
      <c:layout>
        <c:manualLayout>
          <c:xMode val="edge"/>
          <c:yMode val="edge"/>
          <c:x val="0.127604166666667"/>
          <c:y val="0.028169014084507"/>
        </c:manualLayout>
      </c:layout>
      <c:overlay val="0"/>
    </c:title>
    <c:autoTitleDeleted val="0"/>
    <c:plotArea>
      <c:layout/>
      <c:pieChart>
        <c:varyColors val="1"/>
        <c:ser>
          <c:idx val="0"/>
          <c:order val="0"/>
          <c:tx>
            <c:strRef>
              <c:f>Sheet1!$B$1</c:f>
              <c:strCache>
                <c:ptCount val="1"/>
                <c:pt idx="0">
                  <c:v>财政拨款支出决算结构（按功能分类）</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教育（类）支出</c:v>
                </c:pt>
                <c:pt idx="1">
                  <c:v>社会保障和就业（类）支出</c:v>
                </c:pt>
                <c:pt idx="2">
                  <c:v>卫生健康（类）支出</c:v>
                </c:pt>
                <c:pt idx="3">
                  <c:v>节能环保（类）支出</c:v>
                </c:pt>
                <c:pt idx="4">
                  <c:v>城乡社区（类）支出</c:v>
                </c:pt>
                <c:pt idx="5">
                  <c:v>商业服务业等（类）支出</c:v>
                </c:pt>
                <c:pt idx="6">
                  <c:v>住房保障（类）支出</c:v>
                </c:pt>
              </c:strCache>
            </c:strRef>
          </c:cat>
          <c:val>
            <c:numRef>
              <c:f>Sheet1!$B$2:$B$8</c:f>
              <c:numCache>
                <c:formatCode>0.00%</c:formatCode>
                <c:ptCount val="7"/>
                <c:pt idx="0">
                  <c:v>0.000733742845812575</c:v>
                </c:pt>
                <c:pt idx="1">
                  <c:v>0.0120073736386384</c:v>
                </c:pt>
                <c:pt idx="2">
                  <c:v>0.0129208046369277</c:v>
                </c:pt>
                <c:pt idx="3">
                  <c:v>0.124667951673816</c:v>
                </c:pt>
                <c:pt idx="4">
                  <c:v>0.677948019702232</c:v>
                </c:pt>
                <c:pt idx="5">
                  <c:v>0.000352562561360195</c:v>
                </c:pt>
                <c:pt idx="6">
                  <c:v>0.171369544941214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F28C9-BFA9-4582-8892-6259E286AFED}">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55</Pages>
  <Words>4335</Words>
  <Characters>24710</Characters>
  <Lines>205</Lines>
  <Paragraphs>57</Paragraphs>
  <TotalTime>3</TotalTime>
  <ScaleCrop>false</ScaleCrop>
  <LinksUpToDate>false</LinksUpToDate>
  <CharactersWithSpaces>28988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fangguan</cp:lastModifiedBy>
  <cp:lastPrinted>2020-07-30T02:37:00Z</cp:lastPrinted>
  <dcterms:modified xsi:type="dcterms:W3CDTF">2009-08-19T20:57:14Z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